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8" w:rsidRDefault="00841694" w:rsidP="00051398">
      <w:pPr>
        <w:jc w:val="right"/>
        <w:rPr>
          <w:rFonts w:ascii="Times New Roman" w:hAnsi="Times New Roman"/>
          <w:b/>
          <w:bCs/>
          <w:color w:val="000000"/>
          <w:szCs w:val="24"/>
          <w:lang w:val="bg-BG"/>
        </w:rPr>
      </w:pPr>
      <w:r>
        <w:rPr>
          <w:rFonts w:ascii="Times New Roman" w:hAnsi="Times New Roman"/>
          <w:b/>
          <w:bCs/>
          <w:color w:val="000000"/>
          <w:szCs w:val="24"/>
          <w:lang w:val="bg-BG"/>
        </w:rPr>
        <w:t>Приложение</w:t>
      </w:r>
    </w:p>
    <w:p w:rsidR="00841694" w:rsidRPr="00FD6706" w:rsidRDefault="00841694" w:rsidP="00051398">
      <w:pPr>
        <w:jc w:val="right"/>
        <w:rPr>
          <w:rFonts w:ascii="Times New Roman" w:hAnsi="Times New Roman"/>
          <w:b/>
          <w:bCs/>
          <w:color w:val="000000"/>
          <w:szCs w:val="24"/>
          <w:lang w:val="bg-BG"/>
        </w:rPr>
      </w:pPr>
    </w:p>
    <w:p w:rsidR="00661D70" w:rsidRPr="00FD6706" w:rsidRDefault="00661D70" w:rsidP="00051398">
      <w:pPr>
        <w:jc w:val="center"/>
        <w:rPr>
          <w:rFonts w:ascii="Times New Roman" w:hAnsi="Times New Roman"/>
          <w:b/>
          <w:bCs/>
          <w:color w:val="000000"/>
          <w:spacing w:val="54"/>
          <w:szCs w:val="24"/>
          <w:lang w:val="bg-BG"/>
        </w:rPr>
      </w:pPr>
      <w:r w:rsidRPr="00FD6706">
        <w:rPr>
          <w:rFonts w:ascii="Times New Roman" w:hAnsi="Times New Roman"/>
          <w:b/>
          <w:bCs/>
          <w:color w:val="000000"/>
          <w:spacing w:val="54"/>
          <w:szCs w:val="24"/>
          <w:lang w:val="bg-BG"/>
        </w:rPr>
        <w:t>ПРОГРАМА</w:t>
      </w:r>
    </w:p>
    <w:p w:rsidR="00661D70" w:rsidRPr="00FD6706" w:rsidRDefault="00661D70" w:rsidP="00661D70">
      <w:pPr>
        <w:jc w:val="center"/>
        <w:rPr>
          <w:rFonts w:ascii="Times New Roman" w:hAnsi="Times New Roman"/>
          <w:b/>
          <w:bCs/>
          <w:color w:val="000000"/>
          <w:spacing w:val="54"/>
          <w:szCs w:val="24"/>
          <w:lang w:val="bg-BG"/>
        </w:rPr>
      </w:pPr>
    </w:p>
    <w:p w:rsidR="00290040" w:rsidRPr="00FD6706" w:rsidRDefault="00661D70" w:rsidP="00661D70">
      <w:pPr>
        <w:spacing w:line="360" w:lineRule="auto"/>
        <w:jc w:val="center"/>
        <w:rPr>
          <w:rFonts w:ascii="Times New Roman" w:hAnsi="Times New Roman"/>
          <w:b/>
          <w:caps/>
          <w:lang w:val="bg-BG"/>
        </w:rPr>
      </w:pPr>
      <w:r w:rsidRPr="00FD6706">
        <w:rPr>
          <w:rFonts w:ascii="Times New Roman" w:hAnsi="Times New Roman"/>
          <w:b/>
          <w:caps/>
          <w:lang w:val="bg-BG"/>
        </w:rPr>
        <w:t>за компенсиране на непредвидените разходи на дружествата от отрасъл В</w:t>
      </w:r>
      <w:r w:rsidRPr="00FD6706">
        <w:rPr>
          <w:rFonts w:ascii="Times New Roman Bold" w:hAnsi="Times New Roman Bold"/>
          <w:b/>
          <w:smallCaps/>
          <w:lang w:val="bg-BG"/>
        </w:rPr>
        <w:t>и</w:t>
      </w:r>
      <w:r w:rsidRPr="00FD6706">
        <w:rPr>
          <w:rFonts w:ascii="Times New Roman" w:hAnsi="Times New Roman"/>
          <w:b/>
          <w:caps/>
          <w:lang w:val="bg-BG"/>
        </w:rPr>
        <w:t>К за потребена електрическа енергия</w:t>
      </w:r>
      <w:r w:rsidR="009C4122" w:rsidRPr="00FD6706">
        <w:rPr>
          <w:rFonts w:ascii="Times New Roman" w:hAnsi="Times New Roman"/>
          <w:b/>
          <w:caps/>
          <w:lang w:val="bg-BG"/>
        </w:rPr>
        <w:t xml:space="preserve"> ЗА </w:t>
      </w:r>
    </w:p>
    <w:p w:rsidR="00661D70" w:rsidRPr="00FD6706" w:rsidRDefault="003B38D0" w:rsidP="00661D70">
      <w:pPr>
        <w:spacing w:line="360" w:lineRule="auto"/>
        <w:jc w:val="center"/>
        <w:rPr>
          <w:rFonts w:ascii="Times New Roman" w:hAnsi="Times New Roman"/>
          <w:b/>
          <w:caps/>
          <w:lang w:val="bg-BG"/>
        </w:rPr>
      </w:pPr>
      <w:r w:rsidRPr="00FD6706">
        <w:rPr>
          <w:rFonts w:ascii="Times New Roman" w:hAnsi="Times New Roman"/>
          <w:b/>
          <w:caps/>
          <w:lang w:val="bg-BG"/>
        </w:rPr>
        <w:t xml:space="preserve">месец </w:t>
      </w:r>
      <w:r w:rsidR="00146009" w:rsidRPr="00FD6706">
        <w:rPr>
          <w:rFonts w:ascii="Times New Roman" w:hAnsi="Times New Roman"/>
          <w:b/>
          <w:caps/>
          <w:lang w:val="bg-BG"/>
        </w:rPr>
        <w:t>МАЙ</w:t>
      </w:r>
      <w:r w:rsidR="009C4122" w:rsidRPr="00FD6706">
        <w:rPr>
          <w:rFonts w:ascii="Times New Roman" w:hAnsi="Times New Roman"/>
          <w:b/>
          <w:caps/>
          <w:lang w:val="bg-BG"/>
        </w:rPr>
        <w:t xml:space="preserve"> </w:t>
      </w:r>
      <w:r w:rsidR="00170128" w:rsidRPr="00FD6706">
        <w:rPr>
          <w:rFonts w:ascii="Times New Roman" w:hAnsi="Times New Roman"/>
          <w:b/>
          <w:caps/>
          <w:lang w:val="bg-BG"/>
        </w:rPr>
        <w:t xml:space="preserve">и месец юни </w:t>
      </w:r>
      <w:r w:rsidR="009C4122" w:rsidRPr="00FD6706">
        <w:rPr>
          <w:rFonts w:ascii="Times New Roman" w:hAnsi="Times New Roman"/>
          <w:b/>
          <w:caps/>
          <w:lang w:val="bg-BG"/>
        </w:rPr>
        <w:t>2022 г.</w:t>
      </w:r>
    </w:p>
    <w:p w:rsidR="00661D70" w:rsidRPr="00FD6706" w:rsidRDefault="00661D70" w:rsidP="00661D70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</w:p>
    <w:p w:rsidR="00765417" w:rsidRPr="00FD6706" w:rsidRDefault="00661D70" w:rsidP="00765417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t xml:space="preserve">Програмата е насочена към всички небитови крайни клиенти - стопански субекти от отрасъл ВиК и касае предоставяне на </w:t>
      </w:r>
      <w:r w:rsidR="003F1660" w:rsidRPr="00FD6706">
        <w:rPr>
          <w:rFonts w:ascii="Times New Roman" w:hAnsi="Times New Roman"/>
          <w:szCs w:val="24"/>
          <w:lang w:val="bg-BG"/>
        </w:rPr>
        <w:t xml:space="preserve">допълнителни </w:t>
      </w:r>
      <w:r w:rsidRPr="00FD6706">
        <w:rPr>
          <w:rFonts w:ascii="Times New Roman" w:hAnsi="Times New Roman"/>
          <w:szCs w:val="24"/>
          <w:lang w:val="bg-BG"/>
        </w:rPr>
        <w:t xml:space="preserve">средства за компенсиране </w:t>
      </w:r>
      <w:r w:rsidR="003F1660" w:rsidRPr="00FD6706">
        <w:rPr>
          <w:rFonts w:ascii="Times New Roman" w:hAnsi="Times New Roman"/>
          <w:szCs w:val="24"/>
          <w:lang w:val="bg-BG"/>
        </w:rPr>
        <w:t xml:space="preserve">на </w:t>
      </w:r>
      <w:r w:rsidRPr="00FD6706">
        <w:rPr>
          <w:rFonts w:ascii="Times New Roman" w:hAnsi="Times New Roman"/>
          <w:szCs w:val="24"/>
          <w:lang w:val="bg-BG"/>
        </w:rPr>
        <w:t xml:space="preserve">непредвидените и </w:t>
      </w:r>
      <w:proofErr w:type="spellStart"/>
      <w:r w:rsidRPr="00FD6706">
        <w:rPr>
          <w:rFonts w:ascii="Times New Roman" w:hAnsi="Times New Roman"/>
          <w:szCs w:val="24"/>
          <w:lang w:val="bg-BG"/>
        </w:rPr>
        <w:t>некомпенсирани</w:t>
      </w:r>
      <w:proofErr w:type="spellEnd"/>
      <w:r w:rsidRPr="00FD6706">
        <w:rPr>
          <w:rFonts w:ascii="Times New Roman" w:hAnsi="Times New Roman"/>
          <w:szCs w:val="24"/>
          <w:lang w:val="bg-BG"/>
        </w:rPr>
        <w:t xml:space="preserve"> разходи за е</w:t>
      </w:r>
      <w:r w:rsidR="004B7CC1" w:rsidRPr="00FD6706">
        <w:rPr>
          <w:rFonts w:ascii="Times New Roman" w:hAnsi="Times New Roman"/>
          <w:szCs w:val="24"/>
          <w:lang w:val="bg-BG"/>
        </w:rPr>
        <w:t>лектрическа</w:t>
      </w:r>
      <w:r w:rsidRPr="00FD6706">
        <w:rPr>
          <w:rFonts w:ascii="Times New Roman" w:hAnsi="Times New Roman"/>
          <w:szCs w:val="24"/>
          <w:lang w:val="bg-BG"/>
        </w:rPr>
        <w:t xml:space="preserve"> енергия</w:t>
      </w:r>
      <w:r w:rsidR="00666001" w:rsidRPr="00FD6706">
        <w:rPr>
          <w:rFonts w:ascii="Times New Roman" w:hAnsi="Times New Roman"/>
          <w:szCs w:val="24"/>
          <w:lang w:val="bg-BG"/>
        </w:rPr>
        <w:t xml:space="preserve"> за</w:t>
      </w:r>
      <w:r w:rsidR="00264E30" w:rsidRPr="00FD6706">
        <w:rPr>
          <w:rFonts w:ascii="Times New Roman" w:hAnsi="Times New Roman"/>
          <w:szCs w:val="24"/>
          <w:lang w:val="bg-BG"/>
        </w:rPr>
        <w:t xml:space="preserve"> </w:t>
      </w:r>
      <w:r w:rsidR="00B73535" w:rsidRPr="00FD6706">
        <w:rPr>
          <w:rFonts w:ascii="Times New Roman" w:hAnsi="Times New Roman"/>
          <w:szCs w:val="24"/>
          <w:lang w:val="bg-BG"/>
        </w:rPr>
        <w:t>месец май и месец</w:t>
      </w:r>
      <w:r w:rsidR="00264E30" w:rsidRPr="00FD6706">
        <w:rPr>
          <w:rFonts w:ascii="Times New Roman" w:hAnsi="Times New Roman"/>
          <w:szCs w:val="24"/>
          <w:lang w:val="bg-BG"/>
        </w:rPr>
        <w:t xml:space="preserve"> юни</w:t>
      </w:r>
      <w:r w:rsidR="00940D9B" w:rsidRPr="00FD6706">
        <w:rPr>
          <w:rFonts w:ascii="Times New Roman" w:hAnsi="Times New Roman"/>
          <w:szCs w:val="24"/>
          <w:lang w:val="bg-BG"/>
        </w:rPr>
        <w:t xml:space="preserve"> </w:t>
      </w:r>
      <w:r w:rsidR="004D00E2" w:rsidRPr="00FD6706">
        <w:rPr>
          <w:rFonts w:ascii="Times New Roman" w:hAnsi="Times New Roman"/>
          <w:szCs w:val="24"/>
          <w:lang w:val="bg-BG"/>
        </w:rPr>
        <w:t>2022</w:t>
      </w:r>
      <w:r w:rsidR="00352670" w:rsidRPr="00FD6706">
        <w:rPr>
          <w:rFonts w:ascii="Times New Roman" w:hAnsi="Times New Roman"/>
          <w:szCs w:val="24"/>
          <w:lang w:val="bg-BG"/>
        </w:rPr>
        <w:t xml:space="preserve"> </w:t>
      </w:r>
      <w:r w:rsidR="004D00E2" w:rsidRPr="00FD6706">
        <w:rPr>
          <w:rFonts w:ascii="Times New Roman" w:hAnsi="Times New Roman"/>
          <w:szCs w:val="24"/>
          <w:lang w:val="bg-BG"/>
        </w:rPr>
        <w:t>г.</w:t>
      </w:r>
      <w:r w:rsidR="00FC0386" w:rsidRPr="00FD6706">
        <w:rPr>
          <w:rFonts w:ascii="Times New Roman" w:hAnsi="Times New Roman"/>
          <w:szCs w:val="24"/>
          <w:lang w:val="bg-BG"/>
        </w:rPr>
        <w:t xml:space="preserve"> Има</w:t>
      </w:r>
      <w:r w:rsidRPr="00FD6706">
        <w:rPr>
          <w:rFonts w:ascii="Times New Roman" w:hAnsi="Times New Roman"/>
          <w:szCs w:val="24"/>
          <w:lang w:val="bg-BG"/>
        </w:rPr>
        <w:t xml:space="preserve"> за цел да минимизира отрицателния ефект за небитови потребители от отрасъл ВиК от поскъпването на електрическата енергия </w:t>
      </w:r>
      <w:r w:rsidR="00FC0386" w:rsidRPr="00FD6706">
        <w:rPr>
          <w:rFonts w:ascii="Times New Roman" w:hAnsi="Times New Roman"/>
          <w:szCs w:val="24"/>
          <w:lang w:val="bg-BG"/>
        </w:rPr>
        <w:t>през</w:t>
      </w:r>
      <w:r w:rsidR="00B73535" w:rsidRPr="00FD6706">
        <w:rPr>
          <w:rFonts w:ascii="Times New Roman" w:hAnsi="Times New Roman"/>
          <w:szCs w:val="24"/>
          <w:lang w:val="bg-BG"/>
        </w:rPr>
        <w:t xml:space="preserve"> </w:t>
      </w:r>
      <w:r w:rsidRPr="00FD6706">
        <w:rPr>
          <w:rFonts w:ascii="Times New Roman" w:hAnsi="Times New Roman"/>
          <w:szCs w:val="24"/>
          <w:lang w:val="bg-BG"/>
        </w:rPr>
        <w:t>202</w:t>
      </w:r>
      <w:r w:rsidR="002C65A6" w:rsidRPr="00FD6706">
        <w:rPr>
          <w:rFonts w:ascii="Times New Roman" w:hAnsi="Times New Roman"/>
          <w:szCs w:val="24"/>
          <w:lang w:val="bg-BG"/>
        </w:rPr>
        <w:t>2</w:t>
      </w:r>
      <w:r w:rsidRPr="00FD6706">
        <w:rPr>
          <w:rFonts w:ascii="Times New Roman" w:hAnsi="Times New Roman"/>
          <w:szCs w:val="24"/>
          <w:lang w:val="bg-BG"/>
        </w:rPr>
        <w:t xml:space="preserve"> г. на международните пазари, част от които е и организирания пазар на ел. енергия в Република България, осъществяван чрез Българска независима енергийна борса</w:t>
      </w:r>
      <w:r w:rsidR="00C624B0" w:rsidRPr="00FD6706">
        <w:rPr>
          <w:rFonts w:ascii="Times New Roman" w:hAnsi="Times New Roman"/>
          <w:szCs w:val="24"/>
          <w:lang w:val="bg-BG"/>
        </w:rPr>
        <w:t xml:space="preserve"> (БНЕБ)</w:t>
      </w:r>
      <w:r w:rsidR="006C034A" w:rsidRPr="00FD6706">
        <w:rPr>
          <w:rFonts w:ascii="Times New Roman" w:hAnsi="Times New Roman"/>
          <w:szCs w:val="24"/>
          <w:lang w:val="bg-BG"/>
        </w:rPr>
        <w:t>, както</w:t>
      </w:r>
      <w:r w:rsidR="00765417" w:rsidRPr="00FD6706">
        <w:rPr>
          <w:rFonts w:ascii="Times New Roman" w:hAnsi="Times New Roman"/>
          <w:szCs w:val="24"/>
          <w:lang w:val="bg-BG"/>
        </w:rPr>
        <w:t xml:space="preserve"> и да отрази специфичния характер на предоставяните от тези дружества ВиК услуги на потребителите, които се осъществяват по регулирани от държавен орган цени.</w:t>
      </w:r>
    </w:p>
    <w:p w:rsidR="00EF3217" w:rsidRPr="00FD6706" w:rsidRDefault="00661D70" w:rsidP="00661D70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t xml:space="preserve">През </w:t>
      </w:r>
      <w:r w:rsidR="002A623E" w:rsidRPr="00FD6706">
        <w:rPr>
          <w:rFonts w:ascii="Times New Roman" w:hAnsi="Times New Roman"/>
          <w:szCs w:val="24"/>
          <w:lang w:val="bg-BG"/>
        </w:rPr>
        <w:t xml:space="preserve">второ полугодие на </w:t>
      </w:r>
      <w:r w:rsidRPr="00FD6706">
        <w:rPr>
          <w:rFonts w:ascii="Times New Roman" w:hAnsi="Times New Roman"/>
          <w:szCs w:val="24"/>
          <w:lang w:val="bg-BG"/>
        </w:rPr>
        <w:t>2021</w:t>
      </w:r>
      <w:r w:rsidR="00516B2E" w:rsidRPr="00FD6706">
        <w:rPr>
          <w:rFonts w:ascii="Times New Roman" w:hAnsi="Times New Roman"/>
          <w:szCs w:val="24"/>
          <w:lang w:val="bg-BG"/>
        </w:rPr>
        <w:t xml:space="preserve"> </w:t>
      </w:r>
      <w:r w:rsidRPr="00FD6706">
        <w:rPr>
          <w:rFonts w:ascii="Times New Roman" w:hAnsi="Times New Roman"/>
          <w:szCs w:val="24"/>
          <w:lang w:val="bg-BG"/>
        </w:rPr>
        <w:t>г</w:t>
      </w:r>
      <w:r w:rsidR="00516B2E" w:rsidRPr="00FD6706">
        <w:rPr>
          <w:rFonts w:ascii="Times New Roman" w:hAnsi="Times New Roman"/>
          <w:szCs w:val="24"/>
          <w:lang w:val="bg-BG"/>
        </w:rPr>
        <w:t>.</w:t>
      </w:r>
      <w:r w:rsidR="000F3FF0" w:rsidRPr="00FD6706">
        <w:rPr>
          <w:rFonts w:ascii="Times New Roman" w:hAnsi="Times New Roman"/>
          <w:szCs w:val="24"/>
          <w:lang w:val="bg-BG"/>
        </w:rPr>
        <w:t xml:space="preserve"> </w:t>
      </w:r>
      <w:r w:rsidRPr="00FD6706">
        <w:rPr>
          <w:rFonts w:ascii="Times New Roman" w:hAnsi="Times New Roman"/>
          <w:szCs w:val="24"/>
          <w:lang w:val="bg-BG"/>
        </w:rPr>
        <w:t>бяха отбелязани трайни тенденции на непрекъснато и ежедневно повишаване на цените на ел. енергията, по която всички небитови потребители, в т.ч. и дружествата от отрасъл ВиК ползват ел. енергия за дейността си.</w:t>
      </w:r>
      <w:r w:rsidR="00EF3217" w:rsidRPr="00FD6706">
        <w:rPr>
          <w:rFonts w:ascii="Times New Roman" w:hAnsi="Times New Roman"/>
          <w:szCs w:val="24"/>
          <w:lang w:val="bg-BG"/>
        </w:rPr>
        <w:t xml:space="preserve"> И към настоящия момент се запазва тенденцията на високи цени на ел. енергията и неблагоприятни колебания и </w:t>
      </w:r>
      <w:proofErr w:type="spellStart"/>
      <w:r w:rsidR="00EF3217" w:rsidRPr="00FD6706">
        <w:rPr>
          <w:rFonts w:ascii="Times New Roman" w:hAnsi="Times New Roman"/>
          <w:szCs w:val="24"/>
          <w:lang w:val="bg-BG"/>
        </w:rPr>
        <w:t>флукт</w:t>
      </w:r>
      <w:r w:rsidR="00D2736A" w:rsidRPr="00FD6706">
        <w:rPr>
          <w:rFonts w:ascii="Times New Roman" w:hAnsi="Times New Roman"/>
          <w:szCs w:val="24"/>
          <w:lang w:val="bg-BG"/>
        </w:rPr>
        <w:t>у</w:t>
      </w:r>
      <w:r w:rsidR="00EF3217" w:rsidRPr="00FD6706">
        <w:rPr>
          <w:rFonts w:ascii="Times New Roman" w:hAnsi="Times New Roman"/>
          <w:szCs w:val="24"/>
          <w:lang w:val="bg-BG"/>
        </w:rPr>
        <w:t>ация</w:t>
      </w:r>
      <w:proofErr w:type="spellEnd"/>
      <w:r w:rsidR="00324FCC" w:rsidRPr="00FD6706">
        <w:rPr>
          <w:rFonts w:ascii="Times New Roman" w:hAnsi="Times New Roman"/>
          <w:szCs w:val="24"/>
          <w:lang w:val="bg-BG"/>
        </w:rPr>
        <w:t xml:space="preserve"> на цените на енергийните пазари</w:t>
      </w:r>
      <w:r w:rsidR="00EF3217" w:rsidRPr="00FD6706">
        <w:rPr>
          <w:rFonts w:ascii="Times New Roman" w:hAnsi="Times New Roman"/>
          <w:szCs w:val="24"/>
          <w:lang w:val="bg-BG"/>
        </w:rPr>
        <w:t xml:space="preserve">, което поставя ВиК операторите в </w:t>
      </w:r>
      <w:r w:rsidR="00525B68" w:rsidRPr="00FD6706">
        <w:rPr>
          <w:rFonts w:ascii="Times New Roman" w:hAnsi="Times New Roman"/>
          <w:szCs w:val="24"/>
          <w:lang w:val="bg-BG"/>
        </w:rPr>
        <w:t>затруднено положение</w:t>
      </w:r>
      <w:r w:rsidR="00EF3217" w:rsidRPr="00FD6706">
        <w:rPr>
          <w:rFonts w:ascii="Times New Roman" w:hAnsi="Times New Roman"/>
          <w:szCs w:val="24"/>
          <w:lang w:val="bg-BG"/>
        </w:rPr>
        <w:t>, както да покриват разходите си за ел. енергия, така и да осъществяват ефективно дейността</w:t>
      </w:r>
      <w:r w:rsidR="00525B68" w:rsidRPr="00FD6706">
        <w:rPr>
          <w:rFonts w:ascii="Times New Roman" w:hAnsi="Times New Roman"/>
          <w:szCs w:val="24"/>
          <w:lang w:val="bg-BG"/>
        </w:rPr>
        <w:t xml:space="preserve"> по предоставяне на ВиК услугите </w:t>
      </w:r>
      <w:r w:rsidR="00EF3217" w:rsidRPr="00FD6706">
        <w:rPr>
          <w:rFonts w:ascii="Times New Roman" w:hAnsi="Times New Roman"/>
          <w:szCs w:val="24"/>
          <w:lang w:val="bg-BG"/>
        </w:rPr>
        <w:t xml:space="preserve">и да </w:t>
      </w:r>
      <w:r w:rsidR="00525B68" w:rsidRPr="00FD6706">
        <w:rPr>
          <w:rFonts w:ascii="Times New Roman" w:hAnsi="Times New Roman"/>
          <w:szCs w:val="24"/>
          <w:lang w:val="bg-BG"/>
        </w:rPr>
        <w:t>изпълняват инвестиционните си програми.</w:t>
      </w:r>
    </w:p>
    <w:p w:rsidR="00CD6CC3" w:rsidRDefault="00894F7B" w:rsidP="00CD6CC3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t xml:space="preserve">Дружествата от отрасъл </w:t>
      </w:r>
      <w:r w:rsidR="00E5542D" w:rsidRPr="00FD6706">
        <w:rPr>
          <w:rFonts w:ascii="Times New Roman" w:hAnsi="Times New Roman"/>
          <w:szCs w:val="24"/>
          <w:lang w:val="bg-BG"/>
        </w:rPr>
        <w:t>ВиК са обект на подпомагане по общата мярка за подпомагане на бизнеса, съгласно Решения № 30, № 105 (т. 1) и № 202 (т. 1) на Министерския съвет от 2022</w:t>
      </w:r>
      <w:r w:rsidR="00944B41">
        <w:rPr>
          <w:rFonts w:ascii="Times New Roman" w:hAnsi="Times New Roman"/>
          <w:szCs w:val="24"/>
          <w:lang w:val="bg-BG"/>
        </w:rPr>
        <w:t xml:space="preserve"> </w:t>
      </w:r>
      <w:r w:rsidR="00E5542D" w:rsidRPr="00FD6706">
        <w:rPr>
          <w:rFonts w:ascii="Times New Roman" w:hAnsi="Times New Roman"/>
          <w:szCs w:val="24"/>
          <w:lang w:val="bg-BG"/>
        </w:rPr>
        <w:t>г. за компенсация на всички небитови крайни клиенти за периода от 01.01.2022 г. до 30.0</w:t>
      </w:r>
      <w:r w:rsidR="00CD6CC3">
        <w:rPr>
          <w:rFonts w:ascii="Times New Roman" w:hAnsi="Times New Roman"/>
          <w:szCs w:val="24"/>
          <w:lang w:val="bg-BG"/>
        </w:rPr>
        <w:t>4</w:t>
      </w:r>
      <w:r w:rsidR="00E5542D" w:rsidRPr="00FD6706">
        <w:rPr>
          <w:rFonts w:ascii="Times New Roman" w:hAnsi="Times New Roman"/>
          <w:szCs w:val="24"/>
          <w:lang w:val="bg-BG"/>
        </w:rPr>
        <w:t xml:space="preserve">.2022 г. с фиксирани сума на един </w:t>
      </w:r>
      <w:proofErr w:type="spellStart"/>
      <w:r w:rsidR="00E5542D" w:rsidRPr="00FD6706">
        <w:rPr>
          <w:rFonts w:ascii="Times New Roman" w:hAnsi="Times New Roman"/>
          <w:szCs w:val="24"/>
          <w:lang w:val="bg-BG"/>
        </w:rPr>
        <w:t>MWh</w:t>
      </w:r>
      <w:proofErr w:type="spellEnd"/>
      <w:r w:rsidR="00E5542D" w:rsidRPr="00FD6706">
        <w:rPr>
          <w:rFonts w:ascii="Times New Roman" w:hAnsi="Times New Roman"/>
          <w:szCs w:val="24"/>
          <w:lang w:val="bg-BG"/>
        </w:rPr>
        <w:t>.</w:t>
      </w:r>
      <w:r w:rsidR="00281A08">
        <w:rPr>
          <w:rFonts w:ascii="Times New Roman" w:hAnsi="Times New Roman"/>
          <w:szCs w:val="24"/>
          <w:lang w:val="bg-BG"/>
        </w:rPr>
        <w:t xml:space="preserve"> </w:t>
      </w:r>
      <w:r w:rsidR="00CD6CC3" w:rsidRPr="00FD6706">
        <w:rPr>
          <w:rFonts w:ascii="Times New Roman" w:hAnsi="Times New Roman"/>
          <w:szCs w:val="24"/>
          <w:lang w:val="bg-BG"/>
        </w:rPr>
        <w:t xml:space="preserve">Политиката на държавата за подкрепа на небитовите стопански потребители с фиксирани сума на един </w:t>
      </w:r>
      <w:proofErr w:type="spellStart"/>
      <w:r w:rsidR="00CD6CC3" w:rsidRPr="00FD6706">
        <w:rPr>
          <w:rFonts w:ascii="Times New Roman" w:hAnsi="Times New Roman"/>
          <w:szCs w:val="24"/>
          <w:lang w:val="bg-BG"/>
        </w:rPr>
        <w:t>MWh</w:t>
      </w:r>
      <w:proofErr w:type="spellEnd"/>
      <w:r w:rsidR="00CD6CC3" w:rsidRPr="00FD6706">
        <w:rPr>
          <w:rFonts w:ascii="Times New Roman" w:hAnsi="Times New Roman"/>
          <w:szCs w:val="24"/>
          <w:lang w:val="bg-BG"/>
        </w:rPr>
        <w:t xml:space="preserve"> се продължи </w:t>
      </w:r>
      <w:r w:rsidR="00CD6CC3">
        <w:rPr>
          <w:rFonts w:ascii="Times New Roman" w:hAnsi="Times New Roman"/>
          <w:szCs w:val="24"/>
          <w:lang w:val="bg-BG"/>
        </w:rPr>
        <w:t xml:space="preserve">и </w:t>
      </w:r>
      <w:r w:rsidR="00CD6CC3" w:rsidRPr="00FD6706">
        <w:rPr>
          <w:rFonts w:ascii="Times New Roman" w:hAnsi="Times New Roman"/>
          <w:szCs w:val="24"/>
          <w:lang w:val="bg-BG"/>
        </w:rPr>
        <w:t xml:space="preserve">за месеците май и юни 2022 г. съгласно приетото Решение № 356 на Министерския съвет от 01.06.2022 г. За периода от </w:t>
      </w:r>
      <w:r w:rsidR="0057192E">
        <w:rPr>
          <w:rFonts w:ascii="Times New Roman" w:hAnsi="Times New Roman"/>
          <w:szCs w:val="24"/>
          <w:lang w:val="bg-BG"/>
        </w:rPr>
        <w:t>0</w:t>
      </w:r>
      <w:r w:rsidR="00CD6CC3" w:rsidRPr="00FD6706">
        <w:rPr>
          <w:rFonts w:ascii="Times New Roman" w:hAnsi="Times New Roman"/>
          <w:szCs w:val="24"/>
          <w:lang w:val="bg-BG"/>
        </w:rPr>
        <w:t xml:space="preserve">1 май 2022 г. до 30 юни 2022 г. размерът на компенсацията по тази обща мярка за подкрепа на бизнеса ще се определя като 80 % от разликата между реалната </w:t>
      </w:r>
      <w:proofErr w:type="spellStart"/>
      <w:r w:rsidR="00CD6CC3" w:rsidRPr="00FD6706">
        <w:rPr>
          <w:rFonts w:ascii="Times New Roman" w:hAnsi="Times New Roman"/>
          <w:szCs w:val="24"/>
          <w:lang w:val="bg-BG"/>
        </w:rPr>
        <w:t>средномесечна</w:t>
      </w:r>
      <w:proofErr w:type="spellEnd"/>
      <w:r w:rsidR="00CD6CC3" w:rsidRPr="00FD6706">
        <w:rPr>
          <w:rFonts w:ascii="Times New Roman" w:hAnsi="Times New Roman"/>
          <w:szCs w:val="24"/>
          <w:lang w:val="bg-BG"/>
        </w:rPr>
        <w:t xml:space="preserve"> борсова цена за базов товар на сегмента „ден напред“ на БНЕБ за съответния месец и базовата стойност 200,00 лв./</w:t>
      </w:r>
      <w:proofErr w:type="spellStart"/>
      <w:r w:rsidR="00CD6CC3" w:rsidRPr="00FD6706">
        <w:rPr>
          <w:rFonts w:ascii="Times New Roman" w:hAnsi="Times New Roman"/>
          <w:szCs w:val="24"/>
          <w:lang w:val="bg-BG"/>
        </w:rPr>
        <w:t>MWh</w:t>
      </w:r>
      <w:proofErr w:type="spellEnd"/>
      <w:r w:rsidR="00CD6CC3" w:rsidRPr="00FD6706">
        <w:rPr>
          <w:rFonts w:ascii="Times New Roman" w:hAnsi="Times New Roman"/>
          <w:szCs w:val="24"/>
          <w:lang w:val="bg-BG"/>
        </w:rPr>
        <w:t>. Компенсация за клиенти с цена под базовата не се предвижда.</w:t>
      </w:r>
    </w:p>
    <w:p w:rsidR="00CD6CC3" w:rsidRPr="00AE4647" w:rsidRDefault="00CD6CC3" w:rsidP="00CD6CC3">
      <w:pPr>
        <w:spacing w:line="360" w:lineRule="auto"/>
        <w:ind w:firstLine="708"/>
        <w:jc w:val="both"/>
        <w:rPr>
          <w:rFonts w:ascii="Times New Roman" w:hAnsi="Times New Roman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lastRenderedPageBreak/>
        <w:t>Прогнозният бюджет за изпълнение на тази програма е в общ размер на 1 750 млн.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D6706">
        <w:rPr>
          <w:rFonts w:ascii="Times New Roman" w:hAnsi="Times New Roman"/>
          <w:szCs w:val="24"/>
          <w:lang w:val="bg-BG"/>
        </w:rPr>
        <w:t xml:space="preserve">лв. (за периода 01.01.2022 до 30.06.2022 г.) и се осигурява в рамките бюджета на Фонд </w:t>
      </w:r>
      <w:r w:rsidRPr="00AE4647">
        <w:rPr>
          <w:rFonts w:ascii="Times New Roman" w:hAnsi="Times New Roman"/>
          <w:szCs w:val="24"/>
          <w:lang w:val="bg-BG"/>
        </w:rPr>
        <w:t>„Сигурност на електроенергийната система“ (ФСЕС).</w:t>
      </w:r>
    </w:p>
    <w:p w:rsidR="00281A08" w:rsidRPr="00AE4647" w:rsidRDefault="00CD6CC3" w:rsidP="00E84631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AE4647">
        <w:rPr>
          <w:rFonts w:ascii="Times New Roman" w:hAnsi="Times New Roman"/>
          <w:szCs w:val="24"/>
          <w:lang w:val="bg-BG"/>
        </w:rPr>
        <w:t>П</w:t>
      </w:r>
      <w:r w:rsidR="00E5542D" w:rsidRPr="00AE4647">
        <w:rPr>
          <w:rFonts w:ascii="Times New Roman" w:hAnsi="Times New Roman"/>
          <w:szCs w:val="24"/>
          <w:lang w:val="bg-BG"/>
        </w:rPr>
        <w:t xml:space="preserve">олитиката на държавата за подкрепа на небитовите стопански потребители с фиксирани сума на един </w:t>
      </w:r>
      <w:proofErr w:type="spellStart"/>
      <w:r w:rsidR="00E5542D" w:rsidRPr="00AE4647">
        <w:rPr>
          <w:rFonts w:ascii="Times New Roman" w:hAnsi="Times New Roman"/>
          <w:szCs w:val="24"/>
          <w:lang w:val="bg-BG"/>
        </w:rPr>
        <w:t>MWh</w:t>
      </w:r>
      <w:proofErr w:type="spellEnd"/>
      <w:r w:rsidR="00E5542D" w:rsidRPr="00AE4647">
        <w:rPr>
          <w:rFonts w:ascii="Times New Roman" w:hAnsi="Times New Roman"/>
          <w:szCs w:val="24"/>
          <w:lang w:val="bg-BG"/>
        </w:rPr>
        <w:t xml:space="preserve"> се продълж</w:t>
      </w:r>
      <w:r w:rsidRPr="00AE4647">
        <w:rPr>
          <w:rFonts w:ascii="Times New Roman" w:hAnsi="Times New Roman"/>
          <w:szCs w:val="24"/>
          <w:lang w:val="bg-BG"/>
        </w:rPr>
        <w:t>и</w:t>
      </w:r>
      <w:r w:rsidR="00E5542D" w:rsidRPr="00AE4647">
        <w:rPr>
          <w:rFonts w:ascii="Times New Roman" w:hAnsi="Times New Roman"/>
          <w:szCs w:val="24"/>
          <w:lang w:val="bg-BG"/>
        </w:rPr>
        <w:t xml:space="preserve"> и за </w:t>
      </w:r>
      <w:r w:rsidR="00281A08" w:rsidRPr="00AE4647">
        <w:rPr>
          <w:rFonts w:ascii="Times New Roman" w:hAnsi="Times New Roman"/>
          <w:szCs w:val="24"/>
          <w:lang w:val="bg-BG"/>
        </w:rPr>
        <w:t xml:space="preserve">периода </w:t>
      </w:r>
      <w:r w:rsidRPr="00AE4647">
        <w:rPr>
          <w:rFonts w:ascii="Times New Roman" w:hAnsi="Times New Roman"/>
          <w:szCs w:val="24"/>
          <w:lang w:val="bg-BG"/>
        </w:rPr>
        <w:t xml:space="preserve">от </w:t>
      </w:r>
      <w:r w:rsidR="00281A08" w:rsidRPr="00AE4647">
        <w:rPr>
          <w:rFonts w:ascii="Times New Roman" w:hAnsi="Times New Roman"/>
          <w:szCs w:val="24"/>
          <w:lang w:val="bg-BG"/>
        </w:rPr>
        <w:t>1.07.2022 г. до 30.09.2022 г. съ</w:t>
      </w:r>
      <w:r w:rsidR="00E5542D" w:rsidRPr="00AE4647">
        <w:rPr>
          <w:rFonts w:ascii="Times New Roman" w:hAnsi="Times New Roman"/>
          <w:szCs w:val="24"/>
          <w:lang w:val="bg-BG"/>
        </w:rPr>
        <w:t xml:space="preserve">гласно приетото Решение № </w:t>
      </w:r>
      <w:r w:rsidR="00281A08" w:rsidRPr="00AE4647">
        <w:rPr>
          <w:rFonts w:ascii="Times New Roman" w:hAnsi="Times New Roman"/>
          <w:szCs w:val="24"/>
          <w:lang w:val="bg-BG"/>
        </w:rPr>
        <w:t>534</w:t>
      </w:r>
      <w:r w:rsidR="00E5542D" w:rsidRPr="00AE4647">
        <w:rPr>
          <w:rFonts w:ascii="Times New Roman" w:hAnsi="Times New Roman"/>
          <w:szCs w:val="24"/>
          <w:lang w:val="bg-BG"/>
        </w:rPr>
        <w:t xml:space="preserve"> на Министерския съвет от </w:t>
      </w:r>
      <w:r w:rsidR="00281A08" w:rsidRPr="00AE4647">
        <w:rPr>
          <w:rFonts w:ascii="Times New Roman" w:hAnsi="Times New Roman"/>
          <w:szCs w:val="24"/>
          <w:lang w:val="bg-BG"/>
        </w:rPr>
        <w:t>29.07</w:t>
      </w:r>
      <w:r w:rsidR="00E5542D" w:rsidRPr="00AE4647">
        <w:rPr>
          <w:rFonts w:ascii="Times New Roman" w:hAnsi="Times New Roman"/>
          <w:szCs w:val="24"/>
          <w:lang w:val="bg-BG"/>
        </w:rPr>
        <w:t>.2022 г.</w:t>
      </w:r>
      <w:r w:rsidR="00E84631" w:rsidRPr="00AE4647">
        <w:rPr>
          <w:rFonts w:ascii="Times New Roman" w:hAnsi="Times New Roman"/>
          <w:szCs w:val="24"/>
          <w:lang w:val="bg-BG"/>
        </w:rPr>
        <w:t xml:space="preserve"> </w:t>
      </w:r>
    </w:p>
    <w:p w:rsidR="00EA03CE" w:rsidRPr="00FD6706" w:rsidRDefault="008E7AF8" w:rsidP="00EA03CE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D6706">
        <w:rPr>
          <w:rFonts w:ascii="Times New Roman" w:hAnsi="Times New Roman"/>
          <w:lang w:val="bg-BG"/>
        </w:rPr>
        <w:t xml:space="preserve">Въпреки, приетите мерки от страна на държавата за подпомагане чрез Програми за компенсация на всички небитови потребители </w:t>
      </w:r>
      <w:r w:rsidR="00F03084" w:rsidRPr="00FD6706">
        <w:rPr>
          <w:rFonts w:ascii="Times New Roman" w:hAnsi="Times New Roman"/>
          <w:lang w:val="bg-BG"/>
        </w:rPr>
        <w:t xml:space="preserve">за </w:t>
      </w:r>
      <w:r w:rsidRPr="00FD6706">
        <w:rPr>
          <w:rFonts w:ascii="Times New Roman" w:hAnsi="Times New Roman"/>
          <w:lang w:val="bg-BG"/>
        </w:rPr>
        <w:t>количества</w:t>
      </w:r>
      <w:r w:rsidR="00F03084" w:rsidRPr="00FD6706">
        <w:rPr>
          <w:rFonts w:ascii="Times New Roman" w:hAnsi="Times New Roman"/>
          <w:lang w:val="bg-BG"/>
        </w:rPr>
        <w:t>та</w:t>
      </w:r>
      <w:r w:rsidRPr="00FD6706">
        <w:rPr>
          <w:rFonts w:ascii="Times New Roman" w:hAnsi="Times New Roman"/>
          <w:lang w:val="bg-BG"/>
        </w:rPr>
        <w:t xml:space="preserve"> активна ел. енергия, върху която се начислява цена „задължение към обществото“ </w:t>
      </w:r>
      <w:r w:rsidR="00EA03CE" w:rsidRPr="00FD6706">
        <w:rPr>
          <w:rFonts w:ascii="Times New Roman" w:hAnsi="Times New Roman"/>
          <w:szCs w:val="24"/>
          <w:lang w:val="bg-BG"/>
        </w:rPr>
        <w:t xml:space="preserve">с фиксирани сума на подпомагане на един </w:t>
      </w:r>
      <w:proofErr w:type="spellStart"/>
      <w:r w:rsidR="00EA03CE" w:rsidRPr="00FD6706">
        <w:rPr>
          <w:rFonts w:ascii="Times New Roman" w:hAnsi="Times New Roman"/>
          <w:szCs w:val="24"/>
          <w:lang w:val="bg-BG"/>
        </w:rPr>
        <w:t>MWh</w:t>
      </w:r>
      <w:proofErr w:type="spellEnd"/>
      <w:r w:rsidR="00EA03CE" w:rsidRPr="00FD6706">
        <w:rPr>
          <w:rFonts w:ascii="Times New Roman" w:hAnsi="Times New Roman"/>
          <w:lang w:val="bg-BG"/>
        </w:rPr>
        <w:t xml:space="preserve"> </w:t>
      </w:r>
      <w:r w:rsidRPr="00FD6706">
        <w:rPr>
          <w:rFonts w:ascii="Times New Roman" w:hAnsi="Times New Roman"/>
          <w:lang w:val="bg-BG"/>
        </w:rPr>
        <w:t>за периода 01.01.2022 г. до 3</w:t>
      </w:r>
      <w:r w:rsidR="00EE61E7" w:rsidRPr="00FD6706">
        <w:rPr>
          <w:rFonts w:ascii="Times New Roman" w:hAnsi="Times New Roman"/>
          <w:lang w:val="bg-BG"/>
        </w:rPr>
        <w:t>0</w:t>
      </w:r>
      <w:r w:rsidRPr="00FD6706">
        <w:rPr>
          <w:rFonts w:ascii="Times New Roman" w:hAnsi="Times New Roman"/>
          <w:lang w:val="bg-BG"/>
        </w:rPr>
        <w:t>.0</w:t>
      </w:r>
      <w:r w:rsidR="00EE61E7" w:rsidRPr="00FD6706">
        <w:rPr>
          <w:rFonts w:ascii="Times New Roman" w:hAnsi="Times New Roman"/>
          <w:lang w:val="bg-BG"/>
        </w:rPr>
        <w:t>6</w:t>
      </w:r>
      <w:r w:rsidRPr="00FD6706">
        <w:rPr>
          <w:rFonts w:ascii="Times New Roman" w:hAnsi="Times New Roman"/>
          <w:lang w:val="bg-BG"/>
        </w:rPr>
        <w:t xml:space="preserve">.2022 г., </w:t>
      </w:r>
      <w:r w:rsidR="00EA03CE" w:rsidRPr="00FD6706">
        <w:rPr>
          <w:rFonts w:ascii="Times New Roman" w:hAnsi="Times New Roman"/>
          <w:lang w:val="bg-BG"/>
        </w:rPr>
        <w:t xml:space="preserve">от която </w:t>
      </w:r>
      <w:r w:rsidR="006C4666" w:rsidRPr="00FD6706">
        <w:rPr>
          <w:rFonts w:ascii="Times New Roman" w:hAnsi="Times New Roman"/>
          <w:lang w:val="bg-BG"/>
        </w:rPr>
        <w:t>се възползваха и ще се възползват</w:t>
      </w:r>
      <w:r w:rsidR="00EA03CE" w:rsidRPr="00FD6706">
        <w:rPr>
          <w:rFonts w:ascii="Times New Roman" w:hAnsi="Times New Roman"/>
          <w:lang w:val="bg-BG"/>
        </w:rPr>
        <w:t xml:space="preserve"> и дружествата от отрасъл ВиК, </w:t>
      </w:r>
      <w:r w:rsidR="00EA03CE" w:rsidRPr="00FD6706">
        <w:rPr>
          <w:rFonts w:ascii="Times New Roman" w:hAnsi="Times New Roman"/>
          <w:szCs w:val="24"/>
          <w:lang w:val="bg-BG"/>
        </w:rPr>
        <w:t xml:space="preserve">размерът на тази компенсация за тях е крайно недостатъчен, поради спецификата на дейността им, изискваща прилагането на регулаторен механизъм за определяне на цените на ВиК услугите. Дейността им се осъществява, съгласно одобрени петгодишни бизнес планове, като в утвърждаваните по години цени, по които дружествата предоставят ВиК услугите се включва сумата на разчетения разход за електрическа енергия, прогнозиран на база началната година на съответния регулаторен период. Данните и анализите за влиянието на ръста на електроенергията върху дейността на дружествата сочи, че разчетеният разход за ел. енергия в цените на ВиК услугите за всички дружества без изключение чувствително се отличава от фактическия разход за електрическа енергия, който от втората половина на 2021 г. и до настоящия момент е значително по-висок и не може да бъде покрит с цитираната обща мярка за подкрепа валидна за всички небитови потребители. </w:t>
      </w:r>
    </w:p>
    <w:p w:rsidR="00B078C1" w:rsidRPr="00FD6706" w:rsidRDefault="00151A06" w:rsidP="00151A0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bg-BG"/>
        </w:rPr>
      </w:pPr>
      <w:r w:rsidRPr="00FD6706">
        <w:rPr>
          <w:rFonts w:ascii="Times New Roman" w:hAnsi="Times New Roman"/>
          <w:lang w:val="bg-BG"/>
        </w:rPr>
        <w:t>Поради тази специ</w:t>
      </w:r>
      <w:r w:rsidR="002966C2" w:rsidRPr="00FD6706">
        <w:rPr>
          <w:rFonts w:ascii="Times New Roman" w:hAnsi="Times New Roman"/>
          <w:lang w:val="bg-BG"/>
        </w:rPr>
        <w:t>фична особеност ВиК</w:t>
      </w:r>
      <w:r w:rsidRPr="00FD6706">
        <w:rPr>
          <w:rFonts w:ascii="Times New Roman" w:hAnsi="Times New Roman"/>
          <w:lang w:val="bg-BG"/>
        </w:rPr>
        <w:t xml:space="preserve"> </w:t>
      </w:r>
      <w:r w:rsidRPr="00FD6706">
        <w:rPr>
          <w:rFonts w:ascii="Times New Roman" w:hAnsi="Times New Roman"/>
          <w:color w:val="000000" w:themeColor="text1"/>
          <w:lang w:val="bg-BG"/>
        </w:rPr>
        <w:t>дружествата</w:t>
      </w:r>
      <w:r w:rsidR="00E56370" w:rsidRPr="00FD6706">
        <w:rPr>
          <w:rFonts w:ascii="Times New Roman" w:hAnsi="Times New Roman"/>
          <w:color w:val="000000" w:themeColor="text1"/>
          <w:lang w:val="bg-BG"/>
        </w:rPr>
        <w:t xml:space="preserve"> </w:t>
      </w:r>
      <w:r w:rsidR="00B078C1" w:rsidRPr="00FD6706">
        <w:rPr>
          <w:rFonts w:ascii="Times New Roman" w:hAnsi="Times New Roman"/>
          <w:color w:val="000000" w:themeColor="text1"/>
          <w:lang w:val="bg-BG"/>
        </w:rPr>
        <w:t>бяха</w:t>
      </w:r>
      <w:r w:rsidR="002966C2" w:rsidRPr="00FD6706">
        <w:rPr>
          <w:rFonts w:ascii="Times New Roman" w:hAnsi="Times New Roman"/>
          <w:color w:val="000000" w:themeColor="text1"/>
          <w:lang w:val="bg-BG"/>
        </w:rPr>
        <w:t xml:space="preserve"> обект на допълнителна подкрепа, осъществена през </w:t>
      </w:r>
      <w:r w:rsidR="00B078C1" w:rsidRPr="00FD6706">
        <w:rPr>
          <w:rFonts w:ascii="Times New Roman" w:hAnsi="Times New Roman"/>
          <w:color w:val="000000" w:themeColor="text1"/>
          <w:lang w:val="bg-BG"/>
        </w:rPr>
        <w:t xml:space="preserve">2021 г., за първо тримесечие на 2022 г. и за месец април 2022г., </w:t>
      </w:r>
      <w:r w:rsidR="002966C2" w:rsidRPr="00FD6706">
        <w:rPr>
          <w:rFonts w:ascii="Times New Roman" w:hAnsi="Times New Roman"/>
          <w:color w:val="000000" w:themeColor="text1"/>
          <w:lang w:val="bg-BG"/>
        </w:rPr>
        <w:t>съгласно Програмите за компенсиране на непредвидените разходи на дружествата от отрасъл ВиК за потребена ел. енергия за съответните периоди, одобрени</w:t>
      </w:r>
      <w:r w:rsidR="00361BB6">
        <w:rPr>
          <w:rFonts w:ascii="Times New Roman" w:hAnsi="Times New Roman"/>
          <w:color w:val="000000" w:themeColor="text1"/>
          <w:lang w:val="bg-BG"/>
        </w:rPr>
        <w:t xml:space="preserve"> съответно </w:t>
      </w:r>
      <w:r w:rsidR="002966C2" w:rsidRPr="00FD6706">
        <w:rPr>
          <w:rFonts w:ascii="Times New Roman" w:hAnsi="Times New Roman"/>
          <w:color w:val="000000" w:themeColor="text1"/>
          <w:lang w:val="bg-BG"/>
        </w:rPr>
        <w:t xml:space="preserve">с </w:t>
      </w:r>
      <w:r w:rsidR="00B078C1" w:rsidRPr="00FD6706">
        <w:rPr>
          <w:rFonts w:ascii="Times New Roman" w:hAnsi="Times New Roman"/>
          <w:color w:val="000000" w:themeColor="text1"/>
          <w:lang w:val="bg-BG"/>
        </w:rPr>
        <w:t xml:space="preserve">Решения № 40, № 105 (т. 2) и № 202 (т. 5) на Министерския съвет от 2022 г. </w:t>
      </w:r>
    </w:p>
    <w:p w:rsidR="00B726C7" w:rsidRPr="00FD6706" w:rsidRDefault="00157E56" w:rsidP="00B726C7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D6706">
        <w:rPr>
          <w:rFonts w:ascii="Times New Roman" w:hAnsi="Times New Roman"/>
          <w:color w:val="000000" w:themeColor="text1"/>
          <w:lang w:val="bg-BG"/>
        </w:rPr>
        <w:t>С н</w:t>
      </w:r>
      <w:r w:rsidR="002413BC" w:rsidRPr="00FD6706">
        <w:rPr>
          <w:rFonts w:ascii="Times New Roman" w:hAnsi="Times New Roman"/>
          <w:color w:val="000000" w:themeColor="text1"/>
          <w:lang w:val="bg-BG"/>
        </w:rPr>
        <w:t xml:space="preserve">астоящата </w:t>
      </w:r>
      <w:r w:rsidR="00151A06" w:rsidRPr="00FD6706">
        <w:rPr>
          <w:rFonts w:ascii="Times New Roman" w:hAnsi="Times New Roman"/>
          <w:color w:val="000000" w:themeColor="text1"/>
          <w:lang w:val="bg-BG"/>
        </w:rPr>
        <w:t>Програма</w:t>
      </w:r>
      <w:r w:rsidR="00B078C1" w:rsidRPr="00FD6706">
        <w:rPr>
          <w:rFonts w:ascii="Times New Roman" w:hAnsi="Times New Roman"/>
          <w:color w:val="000000" w:themeColor="text1"/>
          <w:lang w:val="bg-BG"/>
        </w:rPr>
        <w:t xml:space="preserve">та </w:t>
      </w:r>
      <w:r w:rsidRPr="00FD6706">
        <w:rPr>
          <w:rFonts w:ascii="Times New Roman" w:hAnsi="Times New Roman"/>
          <w:color w:val="000000" w:themeColor="text1"/>
          <w:lang w:val="bg-BG"/>
        </w:rPr>
        <w:t xml:space="preserve">се </w:t>
      </w:r>
      <w:r w:rsidR="00151A06" w:rsidRPr="00FD6706">
        <w:rPr>
          <w:rFonts w:ascii="Times New Roman" w:hAnsi="Times New Roman"/>
          <w:color w:val="000000" w:themeColor="text1"/>
          <w:lang w:val="bg-BG"/>
        </w:rPr>
        <w:t>продълж</w:t>
      </w:r>
      <w:r w:rsidRPr="00FD6706">
        <w:rPr>
          <w:rFonts w:ascii="Times New Roman" w:hAnsi="Times New Roman"/>
          <w:color w:val="000000" w:themeColor="text1"/>
          <w:lang w:val="bg-BG"/>
        </w:rPr>
        <w:t>ава</w:t>
      </w:r>
      <w:r w:rsidRPr="00FD6706">
        <w:rPr>
          <w:rFonts w:ascii="Times New Roman" w:hAnsi="Times New Roman"/>
          <w:szCs w:val="24"/>
          <w:lang w:val="bg-BG"/>
        </w:rPr>
        <w:t xml:space="preserve"> специфичната мярка за подкрепа на ВиК дружествата и за м. май и м. юни на 2022 г.</w:t>
      </w:r>
      <w:r w:rsidR="009D74A1" w:rsidRPr="00FD6706">
        <w:rPr>
          <w:rFonts w:ascii="Times New Roman" w:hAnsi="Times New Roman"/>
          <w:szCs w:val="24"/>
          <w:lang w:val="bg-BG"/>
        </w:rPr>
        <w:t>,</w:t>
      </w:r>
      <w:r w:rsidRPr="00FD6706">
        <w:rPr>
          <w:rFonts w:ascii="Times New Roman" w:hAnsi="Times New Roman"/>
          <w:szCs w:val="24"/>
          <w:lang w:val="bg-BG"/>
        </w:rPr>
        <w:t xml:space="preserve"> поради все още необичайно високите нива и продължаващата нестабилност на цените на енергийния пазар, което не позволява коректното им прогнозиране. Съ</w:t>
      </w:r>
      <w:r w:rsidR="006C4666" w:rsidRPr="00FD6706">
        <w:rPr>
          <w:rFonts w:ascii="Times New Roman" w:hAnsi="Times New Roman"/>
          <w:szCs w:val="24"/>
          <w:lang w:val="bg-BG"/>
        </w:rPr>
        <w:t>гласно данни на БНЕБ за пазар „д</w:t>
      </w:r>
      <w:r w:rsidRPr="00FD6706">
        <w:rPr>
          <w:rFonts w:ascii="Times New Roman" w:hAnsi="Times New Roman"/>
          <w:szCs w:val="24"/>
          <w:lang w:val="bg-BG"/>
        </w:rPr>
        <w:t xml:space="preserve">ен </w:t>
      </w:r>
      <w:r w:rsidR="006C4666" w:rsidRPr="00FD6706">
        <w:rPr>
          <w:rFonts w:ascii="Times New Roman" w:hAnsi="Times New Roman"/>
          <w:szCs w:val="24"/>
          <w:lang w:val="bg-BG"/>
        </w:rPr>
        <w:t>н</w:t>
      </w:r>
      <w:r w:rsidRPr="00FD6706">
        <w:rPr>
          <w:rFonts w:ascii="Times New Roman" w:hAnsi="Times New Roman"/>
          <w:szCs w:val="24"/>
          <w:lang w:val="bg-BG"/>
        </w:rPr>
        <w:t xml:space="preserve">апред“, от който преобладаващо се ползват ВиК операторите, средноаритметичната цена на електроенергията при този пазарен сегмент за м. май 2022 г. надхвърля 394 лв. </w:t>
      </w:r>
      <w:proofErr w:type="spellStart"/>
      <w:r w:rsidRPr="00FD6706">
        <w:rPr>
          <w:rFonts w:ascii="Times New Roman" w:hAnsi="Times New Roman"/>
          <w:szCs w:val="24"/>
          <w:lang w:val="bg-BG"/>
        </w:rPr>
        <w:t>MWh</w:t>
      </w:r>
      <w:proofErr w:type="spellEnd"/>
      <w:r w:rsidRPr="00FD6706">
        <w:rPr>
          <w:rFonts w:ascii="Times New Roman" w:hAnsi="Times New Roman"/>
          <w:szCs w:val="24"/>
          <w:lang w:val="bg-BG"/>
        </w:rPr>
        <w:t xml:space="preserve">. </w:t>
      </w:r>
      <w:r w:rsidR="00B726C7" w:rsidRPr="00FD6706">
        <w:rPr>
          <w:rFonts w:ascii="Times New Roman" w:hAnsi="Times New Roman"/>
          <w:szCs w:val="24"/>
          <w:lang w:val="bg-BG"/>
        </w:rPr>
        <w:t xml:space="preserve">Допълнително утежнение за дружествата от отрасъл ВиК е, че нямат одобрени бизнес планове и утвърдени актуални цени на ВиК услугите за новия регулаторен период 2022 – </w:t>
      </w:r>
      <w:r w:rsidR="00B726C7" w:rsidRPr="00FD6706">
        <w:rPr>
          <w:rFonts w:ascii="Times New Roman" w:hAnsi="Times New Roman"/>
          <w:szCs w:val="24"/>
          <w:lang w:val="bg-BG"/>
        </w:rPr>
        <w:lastRenderedPageBreak/>
        <w:t>2026 г. Процесът беше задържан, поради действащия до 31.03.2022</w:t>
      </w:r>
      <w:r w:rsidR="00361BB6">
        <w:rPr>
          <w:rFonts w:ascii="Times New Roman" w:hAnsi="Times New Roman"/>
          <w:szCs w:val="24"/>
          <w:lang w:val="bg-BG"/>
        </w:rPr>
        <w:t xml:space="preserve"> </w:t>
      </w:r>
      <w:r w:rsidR="00B726C7" w:rsidRPr="00FD6706">
        <w:rPr>
          <w:rFonts w:ascii="Times New Roman" w:hAnsi="Times New Roman"/>
          <w:szCs w:val="24"/>
          <w:lang w:val="bg-BG"/>
        </w:rPr>
        <w:t>г. мораториум върху цените на електроенергията, ВиК услугите и топлинната енергия на регулиран пазар на нивата на 16 декември 2021 г. за битовите потребители. Макар че процедурите по бизнес планирането започна</w:t>
      </w:r>
      <w:r w:rsidR="006C4666" w:rsidRPr="00FD6706">
        <w:rPr>
          <w:rFonts w:ascii="Times New Roman" w:hAnsi="Times New Roman"/>
          <w:szCs w:val="24"/>
          <w:lang w:val="bg-BG"/>
        </w:rPr>
        <w:t>ха</w:t>
      </w:r>
      <w:r w:rsidR="00B726C7" w:rsidRPr="00FD6706">
        <w:rPr>
          <w:rFonts w:ascii="Times New Roman" w:hAnsi="Times New Roman"/>
          <w:szCs w:val="24"/>
          <w:lang w:val="bg-BG"/>
        </w:rPr>
        <w:t xml:space="preserve"> през 2021 г., към м. май на 2022 г. няма дружества с одобрени бизнес планове и утвърдени актуални цени на ВиК услугите, а през м. юни на 2022 г. техният брой е едва седем, което не позволява осигуряване на възвращаемост на направените разходи при всички останали оператори.</w:t>
      </w:r>
    </w:p>
    <w:p w:rsidR="007C5E76" w:rsidRPr="00FD6706" w:rsidRDefault="007C5E76" w:rsidP="007C5E7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Cs w:val="24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t xml:space="preserve">Индикативният размер на средствата за изпълнение на тази програма е в размер до 16 млн. лева. Средствата вече са разчетени и заявени като ресурс с източник бюджета на Фонд „Сигурност на електроенергийната система“, съгласно т. 2 от Решение № 105 от 02.03.2022 г. за одобряване на Програма за компенсиране на непредвидените разходи на дружествата от отрасъл ВиК за потребена ел. енергия за първо тримесечие на 2022 г., който бюджет е до 46 млн. лв. Разплатените средства за компенсации за първо тримесечие са 20 млн. лв. и се отчита неусвоен ресурс от 26 млн. лв. Финансирането на Програмата за компенсиране на непредвидените разходи на дружествата от отрасъл ВиК за потребена ел. енергия за м. май и м. юни 2022 г. ще се осъществи </w:t>
      </w:r>
      <w:r w:rsidR="000E6497">
        <w:rPr>
          <w:rFonts w:ascii="Times New Roman" w:hAnsi="Times New Roman"/>
          <w:szCs w:val="24"/>
          <w:lang w:val="bg-BG"/>
        </w:rPr>
        <w:t xml:space="preserve">в рамките на </w:t>
      </w:r>
      <w:r w:rsidRPr="00FD6706">
        <w:rPr>
          <w:rFonts w:ascii="Times New Roman" w:hAnsi="Times New Roman"/>
          <w:szCs w:val="24"/>
          <w:lang w:val="bg-BG"/>
        </w:rPr>
        <w:t>този</w:t>
      </w:r>
      <w:r w:rsidR="000E6497">
        <w:rPr>
          <w:rFonts w:ascii="Times New Roman" w:hAnsi="Times New Roman"/>
          <w:szCs w:val="24"/>
          <w:lang w:val="bg-BG"/>
        </w:rPr>
        <w:t xml:space="preserve"> вече одобрен </w:t>
      </w:r>
      <w:r w:rsidRPr="00FD6706">
        <w:rPr>
          <w:rFonts w:ascii="Times New Roman" w:hAnsi="Times New Roman"/>
          <w:szCs w:val="24"/>
          <w:lang w:val="bg-BG"/>
        </w:rPr>
        <w:t>ресурс</w:t>
      </w:r>
      <w:r w:rsidR="006C4666" w:rsidRPr="00FD6706">
        <w:rPr>
          <w:rFonts w:ascii="Times New Roman" w:hAnsi="Times New Roman"/>
          <w:szCs w:val="24"/>
          <w:lang w:val="bg-BG"/>
        </w:rPr>
        <w:t xml:space="preserve"> на ФСЕС</w:t>
      </w:r>
      <w:r w:rsidRPr="00FD6706">
        <w:rPr>
          <w:rFonts w:ascii="Times New Roman" w:hAnsi="Times New Roman"/>
          <w:szCs w:val="24"/>
          <w:lang w:val="bg-BG"/>
        </w:rPr>
        <w:t>.</w:t>
      </w:r>
    </w:p>
    <w:p w:rsidR="00015BDE" w:rsidRPr="00FD6706" w:rsidRDefault="00015BDE" w:rsidP="00015BD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4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t xml:space="preserve">Програмата ще се администрира от МРРБ. </w:t>
      </w:r>
      <w:r w:rsidR="00C0343A" w:rsidRPr="00FD6706">
        <w:rPr>
          <w:rFonts w:ascii="Times New Roman" w:hAnsi="Times New Roman"/>
          <w:szCs w:val="24"/>
          <w:lang w:val="bg-BG"/>
        </w:rPr>
        <w:t xml:space="preserve">Подпомагането </w:t>
      </w:r>
      <w:r w:rsidR="005E3D75" w:rsidRPr="00FD6706">
        <w:rPr>
          <w:rFonts w:ascii="Times New Roman" w:hAnsi="Times New Roman"/>
          <w:szCs w:val="24"/>
          <w:lang w:val="bg-BG"/>
        </w:rPr>
        <w:t>по програмата ще се извърш</w:t>
      </w:r>
      <w:r w:rsidR="00AC7A07" w:rsidRPr="00FD6706">
        <w:rPr>
          <w:rFonts w:ascii="Times New Roman" w:hAnsi="Times New Roman"/>
          <w:szCs w:val="24"/>
          <w:lang w:val="bg-BG"/>
        </w:rPr>
        <w:t>ва</w:t>
      </w:r>
      <w:r w:rsidR="005E3D75" w:rsidRPr="00FD6706">
        <w:rPr>
          <w:rFonts w:ascii="Times New Roman" w:hAnsi="Times New Roman"/>
          <w:szCs w:val="24"/>
          <w:lang w:val="bg-BG"/>
        </w:rPr>
        <w:t xml:space="preserve"> на два етапа: първи етап – подпомагането за месец май 2022 г. и втори етап – подпомагане за месец юни 2022 г.</w:t>
      </w:r>
      <w:r w:rsidR="00390C5E" w:rsidRPr="00FD6706">
        <w:rPr>
          <w:rFonts w:ascii="Times New Roman" w:hAnsi="Times New Roman"/>
          <w:szCs w:val="24"/>
          <w:lang w:val="bg-BG"/>
        </w:rPr>
        <w:t>, По п</w:t>
      </w:r>
      <w:r w:rsidR="00BD096F" w:rsidRPr="00FD6706">
        <w:rPr>
          <w:rFonts w:ascii="Times New Roman" w:hAnsi="Times New Roman"/>
          <w:szCs w:val="24"/>
          <w:lang w:val="bg-BG"/>
        </w:rPr>
        <w:t>роцедура</w:t>
      </w:r>
      <w:r w:rsidR="00390C5E" w:rsidRPr="00FD6706">
        <w:rPr>
          <w:rFonts w:ascii="Times New Roman" w:hAnsi="Times New Roman"/>
          <w:szCs w:val="24"/>
          <w:lang w:val="bg-BG"/>
        </w:rPr>
        <w:t xml:space="preserve">та </w:t>
      </w:r>
      <w:r w:rsidR="002F438D" w:rsidRPr="00FD6706">
        <w:rPr>
          <w:rFonts w:ascii="Times New Roman" w:hAnsi="Times New Roman"/>
          <w:szCs w:val="24"/>
          <w:lang w:val="bg-BG"/>
        </w:rPr>
        <w:t>за компенсации ВиК дружествата ще</w:t>
      </w:r>
      <w:r w:rsidR="00BD096F" w:rsidRPr="00FD6706">
        <w:rPr>
          <w:rFonts w:ascii="Times New Roman" w:hAnsi="Times New Roman"/>
          <w:szCs w:val="24"/>
          <w:lang w:val="bg-BG"/>
        </w:rPr>
        <w:t xml:space="preserve"> кандидатства</w:t>
      </w:r>
      <w:r w:rsidR="002F438D" w:rsidRPr="00FD6706">
        <w:rPr>
          <w:rFonts w:ascii="Times New Roman" w:hAnsi="Times New Roman"/>
          <w:szCs w:val="24"/>
          <w:lang w:val="bg-BG"/>
        </w:rPr>
        <w:t>т</w:t>
      </w:r>
      <w:r w:rsidR="00BD096F" w:rsidRPr="00FD6706">
        <w:rPr>
          <w:rFonts w:ascii="Times New Roman" w:hAnsi="Times New Roman"/>
          <w:szCs w:val="24"/>
          <w:lang w:val="bg-BG"/>
        </w:rPr>
        <w:t xml:space="preserve"> </w:t>
      </w:r>
      <w:r w:rsidR="00390C5E" w:rsidRPr="00FD6706">
        <w:rPr>
          <w:rFonts w:ascii="Times New Roman" w:hAnsi="Times New Roman"/>
          <w:szCs w:val="24"/>
          <w:lang w:val="bg-BG"/>
        </w:rPr>
        <w:t>поотделно за всеки месец</w:t>
      </w:r>
      <w:r w:rsidR="00BD096F" w:rsidRPr="00FD6706">
        <w:rPr>
          <w:rFonts w:ascii="Times New Roman" w:hAnsi="Times New Roman"/>
          <w:szCs w:val="24"/>
          <w:lang w:val="bg-BG"/>
        </w:rPr>
        <w:t>, което е съобразено с одобрените от КЕВР за седем ВиК дружества бизнес планове от 01.06.2022 г.</w:t>
      </w:r>
      <w:r w:rsidR="00390C5E" w:rsidRPr="00FD6706">
        <w:rPr>
          <w:rFonts w:ascii="Times New Roman" w:hAnsi="Times New Roman"/>
          <w:szCs w:val="24"/>
          <w:lang w:val="bg-BG"/>
        </w:rPr>
        <w:t xml:space="preserve"> Във връзка с предоставянето на компенсацията </w:t>
      </w:r>
      <w:r w:rsidR="006B55CE" w:rsidRPr="00FD6706">
        <w:rPr>
          <w:rFonts w:ascii="Times New Roman" w:hAnsi="Times New Roman"/>
          <w:szCs w:val="24"/>
          <w:lang w:val="bg-BG"/>
        </w:rPr>
        <w:t>се сключват договори между МРРБ, съответното дружество от отрасъл ВиК и ФСЕС.</w:t>
      </w:r>
      <w:r w:rsidR="00390C5E" w:rsidRPr="00FD6706">
        <w:rPr>
          <w:rFonts w:ascii="Times New Roman" w:hAnsi="Times New Roman"/>
          <w:szCs w:val="24"/>
          <w:lang w:val="bg-BG"/>
        </w:rPr>
        <w:t xml:space="preserve"> В срокове, определени в договорите, операторите ще подават за всеки месец отделни заявления пред МРРБ, справки и декларации по образец за получаване на </w:t>
      </w:r>
      <w:r w:rsidR="00390C5E" w:rsidRPr="00FD6706">
        <w:rPr>
          <w:rFonts w:ascii="Times New Roman" w:hAnsi="Times New Roman"/>
          <w:color w:val="000000" w:themeColor="text1"/>
          <w:szCs w:val="24"/>
          <w:lang w:val="bg-BG"/>
        </w:rPr>
        <w:t xml:space="preserve">финансови средства за извършване на компенсация за разликата между разходите за фактурираните им (начислени) количества от доставчиците и разходите, включени в цените на ВиК услугите, за месец май и за месец юни 2022 г. </w:t>
      </w:r>
      <w:r w:rsidRPr="00FD6706">
        <w:rPr>
          <w:rFonts w:ascii="Times New Roman" w:hAnsi="Times New Roman"/>
          <w:color w:val="000000" w:themeColor="text1"/>
          <w:szCs w:val="24"/>
          <w:lang w:val="bg-BG"/>
        </w:rPr>
        <w:t>Подадените към заявлени</w:t>
      </w:r>
      <w:r w:rsidR="0088785C" w:rsidRPr="00FD6706">
        <w:rPr>
          <w:rFonts w:ascii="Times New Roman" w:hAnsi="Times New Roman"/>
          <w:color w:val="000000" w:themeColor="text1"/>
          <w:szCs w:val="24"/>
          <w:lang w:val="bg-BG"/>
        </w:rPr>
        <w:t>ята</w:t>
      </w:r>
      <w:r w:rsidRPr="00FD6706">
        <w:rPr>
          <w:rFonts w:ascii="Times New Roman" w:hAnsi="Times New Roman"/>
          <w:color w:val="000000" w:themeColor="text1"/>
          <w:szCs w:val="24"/>
          <w:lang w:val="bg-BG"/>
        </w:rPr>
        <w:t xml:space="preserve"> справки по образец съдържат опис на фактурите, издадени от доставчиците на ел. енергия и други </w:t>
      </w:r>
      <w:proofErr w:type="spellStart"/>
      <w:r w:rsidRPr="00FD6706">
        <w:rPr>
          <w:rFonts w:ascii="Times New Roman" w:hAnsi="Times New Roman"/>
          <w:color w:val="000000" w:themeColor="text1"/>
          <w:szCs w:val="24"/>
          <w:lang w:val="bg-BG"/>
        </w:rPr>
        <w:t>разходооправдателни</w:t>
      </w:r>
      <w:proofErr w:type="spellEnd"/>
      <w:r w:rsidRPr="00FD6706">
        <w:rPr>
          <w:rFonts w:ascii="Times New Roman" w:hAnsi="Times New Roman"/>
          <w:color w:val="000000" w:themeColor="text1"/>
          <w:szCs w:val="24"/>
          <w:lang w:val="bg-BG"/>
        </w:rPr>
        <w:t xml:space="preserve"> документи. МРРБ установява размера на разчетените разходи за ел. енергия, включени в цените на ВиК услугите за съответния ВиК оператор за </w:t>
      </w:r>
      <w:r w:rsidR="005E3D75" w:rsidRPr="00FD6706">
        <w:rPr>
          <w:rFonts w:ascii="Times New Roman" w:hAnsi="Times New Roman"/>
          <w:color w:val="000000" w:themeColor="text1"/>
          <w:szCs w:val="24"/>
          <w:lang w:val="bg-BG"/>
        </w:rPr>
        <w:t>месец май и за месец юни 2022 г.</w:t>
      </w:r>
    </w:p>
    <w:p w:rsidR="002C3BED" w:rsidRPr="00FD6706" w:rsidRDefault="00E8324C" w:rsidP="006E0F35">
      <w:pPr>
        <w:spacing w:line="360" w:lineRule="auto"/>
        <w:ind w:firstLine="709"/>
        <w:jc w:val="both"/>
        <w:rPr>
          <w:rFonts w:ascii="Times New Roman" w:hAnsi="Times New Roman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t xml:space="preserve">Плащането на средствата по </w:t>
      </w:r>
      <w:r w:rsidRPr="00FD6706">
        <w:rPr>
          <w:rFonts w:ascii="Times New Roman" w:hAnsi="Times New Roman"/>
          <w:lang w:val="bg-BG"/>
        </w:rPr>
        <w:t xml:space="preserve">Програмата за компенсиране на непредвидените разходи на дружествата от отрасъл ВиК за потребена електрическа енергия за месец </w:t>
      </w:r>
      <w:r w:rsidR="00C77577" w:rsidRPr="00FD6706">
        <w:rPr>
          <w:rFonts w:ascii="Times New Roman" w:hAnsi="Times New Roman"/>
          <w:lang w:val="bg-BG"/>
        </w:rPr>
        <w:t>май</w:t>
      </w:r>
      <w:r w:rsidRPr="00FD6706">
        <w:rPr>
          <w:rFonts w:ascii="Times New Roman" w:hAnsi="Times New Roman"/>
          <w:lang w:val="bg-BG"/>
        </w:rPr>
        <w:t xml:space="preserve">  </w:t>
      </w:r>
      <w:r w:rsidR="002C3BED" w:rsidRPr="00FD6706">
        <w:rPr>
          <w:rFonts w:ascii="Times New Roman" w:hAnsi="Times New Roman"/>
          <w:lang w:val="bg-BG"/>
        </w:rPr>
        <w:t xml:space="preserve">и </w:t>
      </w:r>
      <w:r w:rsidR="002C3BED" w:rsidRPr="00FD6706">
        <w:rPr>
          <w:rFonts w:ascii="Times New Roman" w:hAnsi="Times New Roman"/>
          <w:lang w:val="bg-BG"/>
        </w:rPr>
        <w:lastRenderedPageBreak/>
        <w:t xml:space="preserve">месец юни </w:t>
      </w:r>
      <w:r w:rsidRPr="00FD6706">
        <w:rPr>
          <w:rFonts w:ascii="Times New Roman" w:hAnsi="Times New Roman"/>
          <w:lang w:val="bg-BG"/>
        </w:rPr>
        <w:t>2022 г.</w:t>
      </w:r>
      <w:r w:rsidRPr="00FD6706">
        <w:rPr>
          <w:rFonts w:ascii="Times New Roman" w:hAnsi="Times New Roman"/>
          <w:szCs w:val="24"/>
          <w:lang w:val="bg-BG"/>
        </w:rPr>
        <w:t xml:space="preserve"> се извършва по </w:t>
      </w:r>
      <w:r w:rsidRPr="00FD6706">
        <w:rPr>
          <w:rFonts w:ascii="Times New Roman" w:hAnsi="Times New Roman"/>
          <w:lang w:val="bg-BG"/>
        </w:rPr>
        <w:t>Споразумение между Министерство на енергетиката, Министерство на регионалното развитие и благоустройството и</w:t>
      </w:r>
      <w:r w:rsidR="002C3BED" w:rsidRPr="00FD6706">
        <w:rPr>
          <w:rFonts w:ascii="Times New Roman" w:hAnsi="Times New Roman"/>
          <w:lang w:val="bg-BG"/>
        </w:rPr>
        <w:t xml:space="preserve"> ФСЕС.</w:t>
      </w:r>
    </w:p>
    <w:p w:rsidR="00661D70" w:rsidRPr="00FD6706" w:rsidRDefault="00B154B2" w:rsidP="00B154B2">
      <w:pPr>
        <w:spacing w:line="360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t xml:space="preserve">След установяване на подлежащите за изплащане средства </w:t>
      </w:r>
      <w:r w:rsidR="00780F3B" w:rsidRPr="00FD6706">
        <w:rPr>
          <w:rFonts w:ascii="Times New Roman" w:hAnsi="Times New Roman"/>
          <w:szCs w:val="24"/>
          <w:lang w:val="bg-BG"/>
        </w:rPr>
        <w:t xml:space="preserve">се уведомяват </w:t>
      </w:r>
      <w:r w:rsidRPr="00FD6706">
        <w:rPr>
          <w:rFonts w:ascii="Times New Roman" w:hAnsi="Times New Roman"/>
          <w:szCs w:val="24"/>
          <w:lang w:val="bg-BG"/>
        </w:rPr>
        <w:t>МЕ</w:t>
      </w:r>
      <w:r w:rsidR="00780F3B" w:rsidRPr="00FD6706">
        <w:rPr>
          <w:rFonts w:ascii="Times New Roman" w:hAnsi="Times New Roman"/>
          <w:szCs w:val="24"/>
          <w:lang w:val="bg-BG"/>
        </w:rPr>
        <w:t xml:space="preserve"> и </w:t>
      </w:r>
      <w:r w:rsidR="00344AC9" w:rsidRPr="00FD6706">
        <w:rPr>
          <w:rFonts w:ascii="Times New Roman" w:hAnsi="Times New Roman"/>
          <w:szCs w:val="24"/>
          <w:lang w:val="bg-BG"/>
        </w:rPr>
        <w:t>ФСЕС к</w:t>
      </w:r>
      <w:r w:rsidR="00780F3B" w:rsidRPr="00FD6706">
        <w:rPr>
          <w:rFonts w:ascii="Times New Roman" w:hAnsi="Times New Roman"/>
          <w:szCs w:val="24"/>
          <w:lang w:val="bg-BG"/>
        </w:rPr>
        <w:t xml:space="preserve">ато се изпращат необходимите </w:t>
      </w:r>
      <w:r w:rsidRPr="00FD6706">
        <w:rPr>
          <w:rFonts w:ascii="Times New Roman" w:hAnsi="Times New Roman"/>
          <w:szCs w:val="24"/>
          <w:lang w:val="bg-BG"/>
        </w:rPr>
        <w:t xml:space="preserve">документи съгласно подписаното Споразумение за </w:t>
      </w:r>
      <w:r w:rsidR="003673BD" w:rsidRPr="00FD6706">
        <w:rPr>
          <w:rFonts w:ascii="Times New Roman" w:hAnsi="Times New Roman"/>
          <w:szCs w:val="24"/>
          <w:lang w:val="bg-BG"/>
        </w:rPr>
        <w:t xml:space="preserve">изплащане на определения </w:t>
      </w:r>
      <w:r w:rsidRPr="00FD6706">
        <w:rPr>
          <w:rFonts w:ascii="Times New Roman" w:hAnsi="Times New Roman"/>
          <w:szCs w:val="24"/>
          <w:lang w:val="bg-BG"/>
        </w:rPr>
        <w:t xml:space="preserve">размер на компенсацията </w:t>
      </w:r>
      <w:r w:rsidR="003673BD" w:rsidRPr="00FD6706">
        <w:rPr>
          <w:rFonts w:ascii="Times New Roman" w:hAnsi="Times New Roman"/>
          <w:szCs w:val="24"/>
          <w:lang w:val="bg-BG"/>
        </w:rPr>
        <w:t xml:space="preserve">на </w:t>
      </w:r>
      <w:r w:rsidRPr="00FD6706">
        <w:rPr>
          <w:rFonts w:ascii="Times New Roman" w:hAnsi="Times New Roman"/>
          <w:szCs w:val="24"/>
          <w:lang w:val="bg-BG"/>
        </w:rPr>
        <w:t>съответното дружеството</w:t>
      </w:r>
      <w:r w:rsidR="0006394A" w:rsidRPr="00FD6706">
        <w:rPr>
          <w:rFonts w:ascii="Times New Roman" w:hAnsi="Times New Roman"/>
          <w:szCs w:val="24"/>
          <w:lang w:val="bg-BG"/>
        </w:rPr>
        <w:t xml:space="preserve"> за периода</w:t>
      </w:r>
      <w:r w:rsidRPr="00FD6706">
        <w:rPr>
          <w:rFonts w:ascii="Times New Roman" w:hAnsi="Times New Roman"/>
          <w:szCs w:val="24"/>
          <w:lang w:val="bg-BG"/>
        </w:rPr>
        <w:t xml:space="preserve">. </w:t>
      </w:r>
      <w:r w:rsidR="00F70252" w:rsidRPr="00FD6706">
        <w:rPr>
          <w:rFonts w:ascii="Times New Roman" w:hAnsi="Times New Roman"/>
          <w:szCs w:val="24"/>
          <w:lang w:val="bg-BG"/>
        </w:rPr>
        <w:t>Ф</w:t>
      </w:r>
      <w:r w:rsidR="00344AC9" w:rsidRPr="00FD6706">
        <w:rPr>
          <w:rFonts w:ascii="Times New Roman" w:hAnsi="Times New Roman"/>
          <w:szCs w:val="24"/>
          <w:lang w:val="bg-BG"/>
        </w:rPr>
        <w:t>СЕС</w:t>
      </w:r>
      <w:r w:rsidRPr="00FD6706">
        <w:rPr>
          <w:rFonts w:ascii="Times New Roman" w:hAnsi="Times New Roman"/>
          <w:szCs w:val="24"/>
          <w:lang w:val="bg-BG"/>
        </w:rPr>
        <w:t xml:space="preserve"> </w:t>
      </w:r>
      <w:r w:rsidR="00F70252" w:rsidRPr="00FD6706">
        <w:rPr>
          <w:rFonts w:ascii="Times New Roman" w:hAnsi="Times New Roman"/>
          <w:szCs w:val="24"/>
          <w:lang w:val="bg-BG"/>
        </w:rPr>
        <w:t xml:space="preserve">извършва </w:t>
      </w:r>
      <w:r w:rsidRPr="00FD6706">
        <w:rPr>
          <w:rFonts w:ascii="Times New Roman" w:hAnsi="Times New Roman"/>
          <w:szCs w:val="24"/>
          <w:lang w:val="bg-BG"/>
        </w:rPr>
        <w:t>плащането на посочената сума, в тридневен срок от получаването на уведомлението от МРРБ, по банковата сметка на дружеството</w:t>
      </w:r>
      <w:r w:rsidR="00780F3B" w:rsidRPr="00FD6706">
        <w:rPr>
          <w:rFonts w:ascii="Times New Roman" w:hAnsi="Times New Roman"/>
          <w:szCs w:val="24"/>
          <w:lang w:val="bg-BG"/>
        </w:rPr>
        <w:t>, ако към този момент са изпълнени определени условия, посочени в Споразумението.</w:t>
      </w:r>
    </w:p>
    <w:p w:rsidR="00053E1E" w:rsidRPr="00FD6706" w:rsidRDefault="00053E1E" w:rsidP="00053E1E">
      <w:pPr>
        <w:spacing w:line="360" w:lineRule="auto"/>
        <w:ind w:firstLine="708"/>
        <w:jc w:val="both"/>
        <w:rPr>
          <w:rFonts w:ascii="Times New Roman" w:hAnsi="Times New Roman"/>
          <w:lang w:val="bg-BG"/>
        </w:rPr>
      </w:pPr>
      <w:r w:rsidRPr="00FD6706">
        <w:rPr>
          <w:rFonts w:ascii="Times New Roman" w:hAnsi="Times New Roman"/>
          <w:szCs w:val="24"/>
          <w:lang w:val="bg-BG"/>
        </w:rPr>
        <w:t xml:space="preserve">Компенсациите </w:t>
      </w:r>
      <w:r w:rsidR="00344AC9" w:rsidRPr="00FD6706">
        <w:rPr>
          <w:rFonts w:ascii="Times New Roman" w:hAnsi="Times New Roman"/>
          <w:szCs w:val="24"/>
          <w:lang w:val="bg-BG"/>
        </w:rPr>
        <w:t>за месец</w:t>
      </w:r>
      <w:r w:rsidR="009452DA" w:rsidRPr="00FD6706">
        <w:rPr>
          <w:rFonts w:ascii="Times New Roman" w:hAnsi="Times New Roman"/>
          <w:szCs w:val="24"/>
          <w:lang w:val="bg-BG"/>
        </w:rPr>
        <w:t xml:space="preserve"> </w:t>
      </w:r>
      <w:r w:rsidR="00344AC9" w:rsidRPr="00FD6706">
        <w:rPr>
          <w:rFonts w:ascii="Times New Roman" w:hAnsi="Times New Roman"/>
          <w:szCs w:val="24"/>
          <w:lang w:val="bg-BG"/>
        </w:rPr>
        <w:t xml:space="preserve">май и </w:t>
      </w:r>
      <w:r w:rsidR="0056790F" w:rsidRPr="00FD6706">
        <w:rPr>
          <w:rFonts w:ascii="Times New Roman" w:hAnsi="Times New Roman"/>
          <w:szCs w:val="24"/>
          <w:lang w:val="bg-BG"/>
        </w:rPr>
        <w:t xml:space="preserve">месец </w:t>
      </w:r>
      <w:r w:rsidR="00344AC9" w:rsidRPr="00FD6706">
        <w:rPr>
          <w:rFonts w:ascii="Times New Roman" w:hAnsi="Times New Roman"/>
          <w:szCs w:val="24"/>
          <w:lang w:val="bg-BG"/>
        </w:rPr>
        <w:t xml:space="preserve">юни 2022 г. </w:t>
      </w:r>
      <w:r w:rsidRPr="00FD6706">
        <w:rPr>
          <w:rFonts w:ascii="Times New Roman" w:hAnsi="Times New Roman"/>
          <w:szCs w:val="24"/>
          <w:lang w:val="bg-BG"/>
        </w:rPr>
        <w:t>се изплащат в срок до 3</w:t>
      </w:r>
      <w:r w:rsidR="00912ED5">
        <w:rPr>
          <w:rFonts w:ascii="Times New Roman" w:hAnsi="Times New Roman"/>
          <w:szCs w:val="24"/>
          <w:lang w:val="bg-BG"/>
        </w:rPr>
        <w:t>1 декември</w:t>
      </w:r>
      <w:r w:rsidRPr="00FD6706">
        <w:rPr>
          <w:rFonts w:ascii="Times New Roman" w:hAnsi="Times New Roman"/>
          <w:szCs w:val="24"/>
          <w:lang w:val="bg-BG"/>
        </w:rPr>
        <w:t xml:space="preserve"> 2022</w:t>
      </w:r>
      <w:r w:rsidR="00842BC5">
        <w:rPr>
          <w:rFonts w:ascii="Times New Roman" w:hAnsi="Times New Roman"/>
          <w:szCs w:val="24"/>
          <w:lang w:val="bg-BG"/>
        </w:rPr>
        <w:t xml:space="preserve"> </w:t>
      </w:r>
      <w:r w:rsidRPr="00FD6706">
        <w:rPr>
          <w:rFonts w:ascii="Times New Roman" w:hAnsi="Times New Roman"/>
          <w:szCs w:val="24"/>
          <w:lang w:val="bg-BG"/>
        </w:rPr>
        <w:t>г.</w:t>
      </w:r>
      <w:r w:rsidRPr="00FD6706">
        <w:rPr>
          <w:rFonts w:ascii="Times New Roman" w:hAnsi="Times New Roman"/>
          <w:lang w:val="bg-BG"/>
        </w:rPr>
        <w:t xml:space="preserve"> </w:t>
      </w:r>
    </w:p>
    <w:p w:rsidR="00B154B2" w:rsidRPr="00FD6706" w:rsidRDefault="00B9683F" w:rsidP="00636AE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bg-BG"/>
        </w:rPr>
      </w:pPr>
      <w:r w:rsidRPr="00FD6706">
        <w:rPr>
          <w:rFonts w:ascii="Times New Roman" w:hAnsi="Times New Roman"/>
          <w:color w:val="000000" w:themeColor="text1"/>
          <w:szCs w:val="24"/>
          <w:lang w:val="bg-BG"/>
        </w:rPr>
        <w:t xml:space="preserve">По отношение на </w:t>
      </w:r>
      <w:r w:rsidR="00911DDB" w:rsidRPr="00FD6706">
        <w:rPr>
          <w:rFonts w:ascii="Times New Roman" w:hAnsi="Times New Roman"/>
          <w:color w:val="000000" w:themeColor="text1"/>
          <w:szCs w:val="24"/>
          <w:lang w:val="bg-BG"/>
        </w:rPr>
        <w:t xml:space="preserve">прилагането на мярката, касаеща подпомагането, осъществявано чрез Програмата </w:t>
      </w:r>
      <w:r w:rsidR="00D373F5" w:rsidRPr="00FD6706">
        <w:rPr>
          <w:rFonts w:ascii="Times New Roman" w:hAnsi="Times New Roman"/>
          <w:color w:val="000000" w:themeColor="text1"/>
          <w:szCs w:val="24"/>
          <w:lang w:val="bg-BG"/>
        </w:rPr>
        <w:t>във връзка с</w:t>
      </w:r>
      <w:r w:rsidR="00911DDB" w:rsidRPr="00FD6706">
        <w:rPr>
          <w:rFonts w:ascii="Times New Roman" w:hAnsi="Times New Roman"/>
          <w:color w:val="000000" w:themeColor="text1"/>
          <w:szCs w:val="24"/>
          <w:lang w:val="bg-BG"/>
        </w:rPr>
        <w:t xml:space="preserve"> режима на държавните помощи не е </w:t>
      </w:r>
      <w:r w:rsidRPr="00FD6706">
        <w:rPr>
          <w:rFonts w:ascii="Times New Roman" w:hAnsi="Times New Roman"/>
          <w:color w:val="000000" w:themeColor="text1"/>
          <w:szCs w:val="24"/>
          <w:lang w:val="bg-BG"/>
        </w:rPr>
        <w:t>изисква</w:t>
      </w:r>
      <w:r w:rsidR="00911DDB" w:rsidRPr="00FD6706">
        <w:rPr>
          <w:rFonts w:ascii="Times New Roman" w:hAnsi="Times New Roman"/>
          <w:color w:val="000000" w:themeColor="text1"/>
          <w:szCs w:val="24"/>
          <w:lang w:val="bg-BG"/>
        </w:rPr>
        <w:t>но</w:t>
      </w:r>
      <w:r w:rsidRPr="00FD6706">
        <w:rPr>
          <w:rFonts w:ascii="Times New Roman" w:hAnsi="Times New Roman"/>
          <w:color w:val="000000" w:themeColor="text1"/>
          <w:szCs w:val="24"/>
          <w:lang w:val="bg-BG"/>
        </w:rPr>
        <w:t xml:space="preserve"> предварително становище от Европейската комисия поради изразената позиция, че ВиК операторите функционират на монополен пазар и не се нарушава конкуренцията на пазара (</w:t>
      </w:r>
      <w:r w:rsidRPr="00FD6706">
        <w:rPr>
          <w:rFonts w:ascii="Times New Roman" w:hAnsi="Times New Roman"/>
          <w:color w:val="000000" w:themeColor="text1"/>
          <w:lang w:val="bg-BG"/>
        </w:rPr>
        <w:t>предварително уведомление изх. № 03-01-254 от 27.11.2017 г. до ЕК, чрез Министерство на финансите и писмо вх. № 90-05-1275 от 21.02.2019 г. от МФ).</w:t>
      </w:r>
      <w:r w:rsidR="00E646C8" w:rsidRPr="00FD6706">
        <w:rPr>
          <w:rFonts w:ascii="Times New Roman" w:hAnsi="Times New Roman"/>
          <w:color w:val="000000" w:themeColor="text1"/>
          <w:lang w:val="bg-BG"/>
        </w:rPr>
        <w:t xml:space="preserve"> </w:t>
      </w:r>
      <w:r w:rsidR="008C654A" w:rsidRPr="00FD6706">
        <w:rPr>
          <w:rFonts w:ascii="Times New Roman" w:hAnsi="Times New Roman"/>
          <w:color w:val="000000" w:themeColor="text1"/>
          <w:lang w:val="bg-BG"/>
        </w:rPr>
        <w:t>С</w:t>
      </w:r>
      <w:r w:rsidR="00A8777C" w:rsidRPr="00FD6706">
        <w:rPr>
          <w:rFonts w:ascii="Times New Roman" w:hAnsi="Times New Roman"/>
          <w:color w:val="000000" w:themeColor="text1"/>
          <w:lang w:val="bg-BG"/>
        </w:rPr>
        <w:t xml:space="preserve"> писмо на М</w:t>
      </w:r>
      <w:r w:rsidR="0026593B" w:rsidRPr="00FD6706">
        <w:rPr>
          <w:rFonts w:ascii="Times New Roman" w:hAnsi="Times New Roman"/>
          <w:color w:val="000000" w:themeColor="text1"/>
          <w:lang w:val="bg-BG"/>
        </w:rPr>
        <w:t xml:space="preserve">инистерство на финансите </w:t>
      </w:r>
      <w:r w:rsidR="00A8777C" w:rsidRPr="00FD6706">
        <w:rPr>
          <w:rFonts w:ascii="Times New Roman" w:hAnsi="Times New Roman"/>
          <w:color w:val="000000" w:themeColor="text1"/>
          <w:lang w:val="bg-BG"/>
        </w:rPr>
        <w:t xml:space="preserve">с вх. № </w:t>
      </w:r>
      <w:r w:rsidR="00E467A3" w:rsidRPr="00FD6706">
        <w:rPr>
          <w:rFonts w:ascii="Times New Roman" w:hAnsi="Times New Roman"/>
          <w:color w:val="000000" w:themeColor="text1"/>
          <w:lang w:val="bg-BG"/>
        </w:rPr>
        <w:t>03-01-45</w:t>
      </w:r>
      <w:bookmarkStart w:id="0" w:name="_GoBack"/>
      <w:bookmarkEnd w:id="0"/>
      <w:r w:rsidR="00E467A3" w:rsidRPr="00FD6706">
        <w:rPr>
          <w:rFonts w:ascii="Times New Roman" w:hAnsi="Times New Roman"/>
          <w:color w:val="000000" w:themeColor="text1"/>
          <w:lang w:val="bg-BG"/>
        </w:rPr>
        <w:t>(1) от 16.02.2022 г.</w:t>
      </w:r>
      <w:r w:rsidR="00A8777C" w:rsidRPr="00FD6706">
        <w:rPr>
          <w:rFonts w:ascii="Times New Roman" w:hAnsi="Times New Roman"/>
          <w:color w:val="000000" w:themeColor="text1"/>
          <w:lang w:val="bg-BG"/>
        </w:rPr>
        <w:t xml:space="preserve"> в МРРБ</w:t>
      </w:r>
      <w:r w:rsidR="008C654A" w:rsidRPr="00FD6706">
        <w:rPr>
          <w:rFonts w:ascii="Times New Roman" w:hAnsi="Times New Roman"/>
          <w:color w:val="000000" w:themeColor="text1"/>
          <w:lang w:val="bg-BG"/>
        </w:rPr>
        <w:t xml:space="preserve"> е посочено, че мерките за подпомагане на сектора, осъществявани при определените от Европейската комисия условия</w:t>
      </w:r>
      <w:r w:rsidR="008B44C1" w:rsidRPr="00FD6706">
        <w:rPr>
          <w:rFonts w:ascii="Times New Roman" w:hAnsi="Times New Roman"/>
          <w:color w:val="000000" w:themeColor="text1"/>
          <w:lang w:val="bg-BG"/>
        </w:rPr>
        <w:t>,</w:t>
      </w:r>
      <w:r w:rsidR="008C654A" w:rsidRPr="00FD6706">
        <w:rPr>
          <w:rFonts w:ascii="Times New Roman" w:hAnsi="Times New Roman"/>
          <w:color w:val="000000" w:themeColor="text1"/>
          <w:lang w:val="bg-BG"/>
        </w:rPr>
        <w:t xml:space="preserve"> не представлява</w:t>
      </w:r>
      <w:r w:rsidR="007B2435" w:rsidRPr="00FD6706">
        <w:rPr>
          <w:rFonts w:ascii="Times New Roman" w:hAnsi="Times New Roman"/>
          <w:color w:val="000000" w:themeColor="text1"/>
          <w:lang w:val="bg-BG"/>
        </w:rPr>
        <w:t>т</w:t>
      </w:r>
      <w:r w:rsidR="008C654A" w:rsidRPr="00FD6706">
        <w:rPr>
          <w:rFonts w:ascii="Times New Roman" w:hAnsi="Times New Roman"/>
          <w:color w:val="000000" w:themeColor="text1"/>
          <w:lang w:val="bg-BG"/>
        </w:rPr>
        <w:t xml:space="preserve"> държавна помощ</w:t>
      </w:r>
      <w:r w:rsidR="00A8777C" w:rsidRPr="00FD6706">
        <w:rPr>
          <w:rFonts w:ascii="Times New Roman" w:hAnsi="Times New Roman"/>
          <w:color w:val="000000" w:themeColor="text1"/>
          <w:lang w:val="bg-BG"/>
        </w:rPr>
        <w:t>.</w:t>
      </w:r>
    </w:p>
    <w:sectPr w:rsidR="00B154B2" w:rsidRPr="00FD6706" w:rsidSect="00842BC5">
      <w:headerReference w:type="default" r:id="rId8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80" w:rsidRDefault="00506C80" w:rsidP="00661D70">
      <w:r>
        <w:separator/>
      </w:r>
    </w:p>
  </w:endnote>
  <w:endnote w:type="continuationSeparator" w:id="0">
    <w:p w:rsidR="00506C80" w:rsidRDefault="00506C80" w:rsidP="0066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80" w:rsidRDefault="00506C80" w:rsidP="00661D70">
      <w:r>
        <w:separator/>
      </w:r>
    </w:p>
  </w:footnote>
  <w:footnote w:type="continuationSeparator" w:id="0">
    <w:p w:rsidR="00506C80" w:rsidRDefault="00506C80" w:rsidP="0066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30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1D70" w:rsidRDefault="00661D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6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1D70" w:rsidRDefault="00661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B52DD"/>
    <w:multiLevelType w:val="hybridMultilevel"/>
    <w:tmpl w:val="F6362E9C"/>
    <w:lvl w:ilvl="0" w:tplc="9F5AD228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15BDE"/>
    <w:rsid w:val="00030802"/>
    <w:rsid w:val="00034CD8"/>
    <w:rsid w:val="00035078"/>
    <w:rsid w:val="000407BB"/>
    <w:rsid w:val="000408C1"/>
    <w:rsid w:val="00040D5A"/>
    <w:rsid w:val="00050499"/>
    <w:rsid w:val="00051398"/>
    <w:rsid w:val="00053E1E"/>
    <w:rsid w:val="000547B1"/>
    <w:rsid w:val="00056A50"/>
    <w:rsid w:val="0006394A"/>
    <w:rsid w:val="00070F8C"/>
    <w:rsid w:val="000732A1"/>
    <w:rsid w:val="00073AD5"/>
    <w:rsid w:val="000C755B"/>
    <w:rsid w:val="000D5F76"/>
    <w:rsid w:val="000E6497"/>
    <w:rsid w:val="000F0FAF"/>
    <w:rsid w:val="000F269D"/>
    <w:rsid w:val="000F3599"/>
    <w:rsid w:val="000F3946"/>
    <w:rsid w:val="000F3FF0"/>
    <w:rsid w:val="00100F7B"/>
    <w:rsid w:val="0010482C"/>
    <w:rsid w:val="00112F08"/>
    <w:rsid w:val="001160E4"/>
    <w:rsid w:val="00116C7C"/>
    <w:rsid w:val="00123EA2"/>
    <w:rsid w:val="00135C23"/>
    <w:rsid w:val="00143864"/>
    <w:rsid w:val="00146009"/>
    <w:rsid w:val="00150691"/>
    <w:rsid w:val="00151A06"/>
    <w:rsid w:val="00157E56"/>
    <w:rsid w:val="00170128"/>
    <w:rsid w:val="00175675"/>
    <w:rsid w:val="0018076A"/>
    <w:rsid w:val="00185C49"/>
    <w:rsid w:val="001A0DD1"/>
    <w:rsid w:val="001B396F"/>
    <w:rsid w:val="001B74C7"/>
    <w:rsid w:val="001C36B0"/>
    <w:rsid w:val="001D4658"/>
    <w:rsid w:val="001D5830"/>
    <w:rsid w:val="001D7A81"/>
    <w:rsid w:val="001F0B3B"/>
    <w:rsid w:val="001F3CC8"/>
    <w:rsid w:val="001F6DDF"/>
    <w:rsid w:val="00200C99"/>
    <w:rsid w:val="00201497"/>
    <w:rsid w:val="00206932"/>
    <w:rsid w:val="00211B3B"/>
    <w:rsid w:val="002178DD"/>
    <w:rsid w:val="002277CB"/>
    <w:rsid w:val="002403A4"/>
    <w:rsid w:val="002413BC"/>
    <w:rsid w:val="00264E30"/>
    <w:rsid w:val="0026593B"/>
    <w:rsid w:val="002664D7"/>
    <w:rsid w:val="00270544"/>
    <w:rsid w:val="00277C63"/>
    <w:rsid w:val="00281A08"/>
    <w:rsid w:val="00284B61"/>
    <w:rsid w:val="00287569"/>
    <w:rsid w:val="00290040"/>
    <w:rsid w:val="002966C2"/>
    <w:rsid w:val="002A623E"/>
    <w:rsid w:val="002B49B6"/>
    <w:rsid w:val="002C175E"/>
    <w:rsid w:val="002C31EA"/>
    <w:rsid w:val="002C3BED"/>
    <w:rsid w:val="002C65A6"/>
    <w:rsid w:val="002D07E3"/>
    <w:rsid w:val="002E6AD9"/>
    <w:rsid w:val="002E6DC4"/>
    <w:rsid w:val="002E6E4D"/>
    <w:rsid w:val="002F438D"/>
    <w:rsid w:val="00302001"/>
    <w:rsid w:val="003037CB"/>
    <w:rsid w:val="00311339"/>
    <w:rsid w:val="00311FA2"/>
    <w:rsid w:val="00316193"/>
    <w:rsid w:val="00320008"/>
    <w:rsid w:val="00320841"/>
    <w:rsid w:val="003228FE"/>
    <w:rsid w:val="00324FCC"/>
    <w:rsid w:val="00335256"/>
    <w:rsid w:val="003414EB"/>
    <w:rsid w:val="00342A5B"/>
    <w:rsid w:val="00344AC9"/>
    <w:rsid w:val="00352670"/>
    <w:rsid w:val="00353030"/>
    <w:rsid w:val="003547CB"/>
    <w:rsid w:val="00357E50"/>
    <w:rsid w:val="00361BB6"/>
    <w:rsid w:val="003673BD"/>
    <w:rsid w:val="0037193D"/>
    <w:rsid w:val="00373570"/>
    <w:rsid w:val="00374473"/>
    <w:rsid w:val="00376A17"/>
    <w:rsid w:val="00382369"/>
    <w:rsid w:val="00382CF4"/>
    <w:rsid w:val="00390C5E"/>
    <w:rsid w:val="003936D7"/>
    <w:rsid w:val="003A3EFD"/>
    <w:rsid w:val="003A49CE"/>
    <w:rsid w:val="003A6293"/>
    <w:rsid w:val="003B22B8"/>
    <w:rsid w:val="003B3112"/>
    <w:rsid w:val="003B38D0"/>
    <w:rsid w:val="003C3B2F"/>
    <w:rsid w:val="003C598C"/>
    <w:rsid w:val="003C5BC8"/>
    <w:rsid w:val="003D5321"/>
    <w:rsid w:val="003F1660"/>
    <w:rsid w:val="003F28B6"/>
    <w:rsid w:val="003F2E21"/>
    <w:rsid w:val="00410E72"/>
    <w:rsid w:val="00414D64"/>
    <w:rsid w:val="00421E1B"/>
    <w:rsid w:val="00423818"/>
    <w:rsid w:val="00432DE1"/>
    <w:rsid w:val="00450512"/>
    <w:rsid w:val="00455BDF"/>
    <w:rsid w:val="0046087C"/>
    <w:rsid w:val="0046110A"/>
    <w:rsid w:val="00466436"/>
    <w:rsid w:val="004811A5"/>
    <w:rsid w:val="0048178B"/>
    <w:rsid w:val="00494A3E"/>
    <w:rsid w:val="0049583C"/>
    <w:rsid w:val="004A6EC5"/>
    <w:rsid w:val="004B4CBD"/>
    <w:rsid w:val="004B7CC1"/>
    <w:rsid w:val="004C228C"/>
    <w:rsid w:val="004C6741"/>
    <w:rsid w:val="004D00E2"/>
    <w:rsid w:val="004D4E78"/>
    <w:rsid w:val="004E3170"/>
    <w:rsid w:val="004E4332"/>
    <w:rsid w:val="004E6FAC"/>
    <w:rsid w:val="004F0CCD"/>
    <w:rsid w:val="004F0F70"/>
    <w:rsid w:val="00502CC1"/>
    <w:rsid w:val="00506C80"/>
    <w:rsid w:val="00516B2E"/>
    <w:rsid w:val="00520CFA"/>
    <w:rsid w:val="0052120B"/>
    <w:rsid w:val="00525B68"/>
    <w:rsid w:val="00532CEB"/>
    <w:rsid w:val="00544CF8"/>
    <w:rsid w:val="00547050"/>
    <w:rsid w:val="00555D2F"/>
    <w:rsid w:val="00561E4B"/>
    <w:rsid w:val="0056790F"/>
    <w:rsid w:val="0057192E"/>
    <w:rsid w:val="00574560"/>
    <w:rsid w:val="00576A53"/>
    <w:rsid w:val="00582D87"/>
    <w:rsid w:val="005931E8"/>
    <w:rsid w:val="00594E6B"/>
    <w:rsid w:val="005953D7"/>
    <w:rsid w:val="005A33F6"/>
    <w:rsid w:val="005A41B0"/>
    <w:rsid w:val="005A7DCB"/>
    <w:rsid w:val="005C096D"/>
    <w:rsid w:val="005C34BF"/>
    <w:rsid w:val="005D25DC"/>
    <w:rsid w:val="005D4977"/>
    <w:rsid w:val="005E30C1"/>
    <w:rsid w:val="005E31EF"/>
    <w:rsid w:val="005E3D75"/>
    <w:rsid w:val="005E4BF5"/>
    <w:rsid w:val="005F1E28"/>
    <w:rsid w:val="0060029E"/>
    <w:rsid w:val="00601820"/>
    <w:rsid w:val="0060325C"/>
    <w:rsid w:val="00606DB2"/>
    <w:rsid w:val="006100C6"/>
    <w:rsid w:val="00613BA4"/>
    <w:rsid w:val="00636AEA"/>
    <w:rsid w:val="00650069"/>
    <w:rsid w:val="006605B6"/>
    <w:rsid w:val="00660AF6"/>
    <w:rsid w:val="00661D70"/>
    <w:rsid w:val="00663455"/>
    <w:rsid w:val="00666001"/>
    <w:rsid w:val="00671FF2"/>
    <w:rsid w:val="00683793"/>
    <w:rsid w:val="00684A7F"/>
    <w:rsid w:val="006852E0"/>
    <w:rsid w:val="00691F71"/>
    <w:rsid w:val="00693342"/>
    <w:rsid w:val="006940FB"/>
    <w:rsid w:val="006A01AA"/>
    <w:rsid w:val="006A6B14"/>
    <w:rsid w:val="006B55CE"/>
    <w:rsid w:val="006C034A"/>
    <w:rsid w:val="006C17DA"/>
    <w:rsid w:val="006C4666"/>
    <w:rsid w:val="006C6774"/>
    <w:rsid w:val="006E0F35"/>
    <w:rsid w:val="006E2B6E"/>
    <w:rsid w:val="006E6254"/>
    <w:rsid w:val="00707400"/>
    <w:rsid w:val="007154D9"/>
    <w:rsid w:val="0071565A"/>
    <w:rsid w:val="00726181"/>
    <w:rsid w:val="007306FA"/>
    <w:rsid w:val="00750B8B"/>
    <w:rsid w:val="00752BB0"/>
    <w:rsid w:val="00752F4B"/>
    <w:rsid w:val="00756519"/>
    <w:rsid w:val="007600D0"/>
    <w:rsid w:val="00761788"/>
    <w:rsid w:val="00765417"/>
    <w:rsid w:val="007669E0"/>
    <w:rsid w:val="00776D09"/>
    <w:rsid w:val="00780F3B"/>
    <w:rsid w:val="00794910"/>
    <w:rsid w:val="007A39A2"/>
    <w:rsid w:val="007A6648"/>
    <w:rsid w:val="007A7A84"/>
    <w:rsid w:val="007B14DB"/>
    <w:rsid w:val="007B2435"/>
    <w:rsid w:val="007C5E76"/>
    <w:rsid w:val="007D1D9E"/>
    <w:rsid w:val="007D7147"/>
    <w:rsid w:val="007E3B1B"/>
    <w:rsid w:val="007E4594"/>
    <w:rsid w:val="007E75A4"/>
    <w:rsid w:val="00800F59"/>
    <w:rsid w:val="00803581"/>
    <w:rsid w:val="00806DBD"/>
    <w:rsid w:val="008202A5"/>
    <w:rsid w:val="00821BDF"/>
    <w:rsid w:val="0082523C"/>
    <w:rsid w:val="00841694"/>
    <w:rsid w:val="00842BC5"/>
    <w:rsid w:val="00847921"/>
    <w:rsid w:val="00847AB6"/>
    <w:rsid w:val="0085138C"/>
    <w:rsid w:val="00852408"/>
    <w:rsid w:val="008529F3"/>
    <w:rsid w:val="00856CD3"/>
    <w:rsid w:val="008657C9"/>
    <w:rsid w:val="0088785C"/>
    <w:rsid w:val="00894F7B"/>
    <w:rsid w:val="008A48AF"/>
    <w:rsid w:val="008B44C1"/>
    <w:rsid w:val="008B52D6"/>
    <w:rsid w:val="008C654A"/>
    <w:rsid w:val="008D2DC1"/>
    <w:rsid w:val="008D3253"/>
    <w:rsid w:val="008D4093"/>
    <w:rsid w:val="008D781D"/>
    <w:rsid w:val="008E7AF8"/>
    <w:rsid w:val="008F30A7"/>
    <w:rsid w:val="00900440"/>
    <w:rsid w:val="00911DDB"/>
    <w:rsid w:val="00912ED5"/>
    <w:rsid w:val="00927A21"/>
    <w:rsid w:val="00940651"/>
    <w:rsid w:val="00940D9B"/>
    <w:rsid w:val="00940FE7"/>
    <w:rsid w:val="00944B41"/>
    <w:rsid w:val="009452DA"/>
    <w:rsid w:val="00945A9C"/>
    <w:rsid w:val="00951000"/>
    <w:rsid w:val="00952483"/>
    <w:rsid w:val="00974293"/>
    <w:rsid w:val="009833D3"/>
    <w:rsid w:val="009920B2"/>
    <w:rsid w:val="009A5311"/>
    <w:rsid w:val="009C25D3"/>
    <w:rsid w:val="009C33B4"/>
    <w:rsid w:val="009C3AA6"/>
    <w:rsid w:val="009C4122"/>
    <w:rsid w:val="009C45A6"/>
    <w:rsid w:val="009C6AFE"/>
    <w:rsid w:val="009D1B1B"/>
    <w:rsid w:val="009D70F2"/>
    <w:rsid w:val="009D74A1"/>
    <w:rsid w:val="009E0008"/>
    <w:rsid w:val="009E2CCE"/>
    <w:rsid w:val="009F61D3"/>
    <w:rsid w:val="00A02C3D"/>
    <w:rsid w:val="00A07F44"/>
    <w:rsid w:val="00A17F50"/>
    <w:rsid w:val="00A322D7"/>
    <w:rsid w:val="00A348F9"/>
    <w:rsid w:val="00A46CE7"/>
    <w:rsid w:val="00A55130"/>
    <w:rsid w:val="00A660A9"/>
    <w:rsid w:val="00A7230A"/>
    <w:rsid w:val="00A73D3F"/>
    <w:rsid w:val="00A73E20"/>
    <w:rsid w:val="00A77DD1"/>
    <w:rsid w:val="00A77FBE"/>
    <w:rsid w:val="00A8229C"/>
    <w:rsid w:val="00A84E89"/>
    <w:rsid w:val="00A84F67"/>
    <w:rsid w:val="00A8777C"/>
    <w:rsid w:val="00AB56FD"/>
    <w:rsid w:val="00AC44F8"/>
    <w:rsid w:val="00AC7A07"/>
    <w:rsid w:val="00AD0C2F"/>
    <w:rsid w:val="00AD63E7"/>
    <w:rsid w:val="00AD6817"/>
    <w:rsid w:val="00AE123A"/>
    <w:rsid w:val="00AE4647"/>
    <w:rsid w:val="00AE52E4"/>
    <w:rsid w:val="00AE5B6D"/>
    <w:rsid w:val="00B078C1"/>
    <w:rsid w:val="00B11B64"/>
    <w:rsid w:val="00B12E44"/>
    <w:rsid w:val="00B154B2"/>
    <w:rsid w:val="00B15C38"/>
    <w:rsid w:val="00B15E43"/>
    <w:rsid w:val="00B20268"/>
    <w:rsid w:val="00B272A7"/>
    <w:rsid w:val="00B342D7"/>
    <w:rsid w:val="00B46216"/>
    <w:rsid w:val="00B55778"/>
    <w:rsid w:val="00B637F0"/>
    <w:rsid w:val="00B726C7"/>
    <w:rsid w:val="00B73535"/>
    <w:rsid w:val="00B90776"/>
    <w:rsid w:val="00B9683F"/>
    <w:rsid w:val="00BA555E"/>
    <w:rsid w:val="00BB583E"/>
    <w:rsid w:val="00BC377C"/>
    <w:rsid w:val="00BD096F"/>
    <w:rsid w:val="00BD5D2D"/>
    <w:rsid w:val="00BE06F9"/>
    <w:rsid w:val="00BE2D22"/>
    <w:rsid w:val="00BE3537"/>
    <w:rsid w:val="00BE72C0"/>
    <w:rsid w:val="00BE790C"/>
    <w:rsid w:val="00BF5A4C"/>
    <w:rsid w:val="00C03420"/>
    <w:rsid w:val="00C0343A"/>
    <w:rsid w:val="00C0466E"/>
    <w:rsid w:val="00C070FE"/>
    <w:rsid w:val="00C20D3B"/>
    <w:rsid w:val="00C235D0"/>
    <w:rsid w:val="00C25C8E"/>
    <w:rsid w:val="00C27AA7"/>
    <w:rsid w:val="00C30B0C"/>
    <w:rsid w:val="00C37A65"/>
    <w:rsid w:val="00C37C38"/>
    <w:rsid w:val="00C43FC7"/>
    <w:rsid w:val="00C461B7"/>
    <w:rsid w:val="00C50FEB"/>
    <w:rsid w:val="00C607DA"/>
    <w:rsid w:val="00C60F32"/>
    <w:rsid w:val="00C624B0"/>
    <w:rsid w:val="00C63CA9"/>
    <w:rsid w:val="00C77577"/>
    <w:rsid w:val="00C8115C"/>
    <w:rsid w:val="00C816F3"/>
    <w:rsid w:val="00C94AD9"/>
    <w:rsid w:val="00CA50D8"/>
    <w:rsid w:val="00CA60FB"/>
    <w:rsid w:val="00CA781A"/>
    <w:rsid w:val="00CB19D4"/>
    <w:rsid w:val="00CC71FF"/>
    <w:rsid w:val="00CD35A2"/>
    <w:rsid w:val="00CD6CC3"/>
    <w:rsid w:val="00CE2283"/>
    <w:rsid w:val="00CE3DAE"/>
    <w:rsid w:val="00CF3773"/>
    <w:rsid w:val="00D03666"/>
    <w:rsid w:val="00D0743E"/>
    <w:rsid w:val="00D24112"/>
    <w:rsid w:val="00D24214"/>
    <w:rsid w:val="00D2736A"/>
    <w:rsid w:val="00D32A06"/>
    <w:rsid w:val="00D373F5"/>
    <w:rsid w:val="00D41451"/>
    <w:rsid w:val="00D45383"/>
    <w:rsid w:val="00D5171C"/>
    <w:rsid w:val="00D522A9"/>
    <w:rsid w:val="00D54A7A"/>
    <w:rsid w:val="00D63CD3"/>
    <w:rsid w:val="00D72397"/>
    <w:rsid w:val="00D737DD"/>
    <w:rsid w:val="00D808E5"/>
    <w:rsid w:val="00D8145D"/>
    <w:rsid w:val="00D87DEC"/>
    <w:rsid w:val="00D92093"/>
    <w:rsid w:val="00DB409D"/>
    <w:rsid w:val="00DB46AD"/>
    <w:rsid w:val="00DC082E"/>
    <w:rsid w:val="00DD0347"/>
    <w:rsid w:val="00DE0BF8"/>
    <w:rsid w:val="00DE627A"/>
    <w:rsid w:val="00DF0240"/>
    <w:rsid w:val="00E00692"/>
    <w:rsid w:val="00E015D3"/>
    <w:rsid w:val="00E0247C"/>
    <w:rsid w:val="00E13674"/>
    <w:rsid w:val="00E20FB4"/>
    <w:rsid w:val="00E23AFF"/>
    <w:rsid w:val="00E31943"/>
    <w:rsid w:val="00E31B2F"/>
    <w:rsid w:val="00E40243"/>
    <w:rsid w:val="00E429AD"/>
    <w:rsid w:val="00E467A3"/>
    <w:rsid w:val="00E52616"/>
    <w:rsid w:val="00E5542D"/>
    <w:rsid w:val="00E56370"/>
    <w:rsid w:val="00E62648"/>
    <w:rsid w:val="00E646C8"/>
    <w:rsid w:val="00E71F5C"/>
    <w:rsid w:val="00E72263"/>
    <w:rsid w:val="00E81E0D"/>
    <w:rsid w:val="00E8324C"/>
    <w:rsid w:val="00E84631"/>
    <w:rsid w:val="00E908CC"/>
    <w:rsid w:val="00E92755"/>
    <w:rsid w:val="00E97EE7"/>
    <w:rsid w:val="00EA03CE"/>
    <w:rsid w:val="00EA3E54"/>
    <w:rsid w:val="00EB44D2"/>
    <w:rsid w:val="00EB6F7D"/>
    <w:rsid w:val="00EC0694"/>
    <w:rsid w:val="00EC0DAB"/>
    <w:rsid w:val="00EC7654"/>
    <w:rsid w:val="00ED117D"/>
    <w:rsid w:val="00ED5506"/>
    <w:rsid w:val="00ED6EF7"/>
    <w:rsid w:val="00EE1128"/>
    <w:rsid w:val="00EE304C"/>
    <w:rsid w:val="00EE61E7"/>
    <w:rsid w:val="00EE7B4B"/>
    <w:rsid w:val="00EF03BE"/>
    <w:rsid w:val="00EF3217"/>
    <w:rsid w:val="00F03084"/>
    <w:rsid w:val="00F05EDE"/>
    <w:rsid w:val="00F34520"/>
    <w:rsid w:val="00F409DA"/>
    <w:rsid w:val="00F4679B"/>
    <w:rsid w:val="00F47986"/>
    <w:rsid w:val="00F70252"/>
    <w:rsid w:val="00F713D8"/>
    <w:rsid w:val="00F71BB5"/>
    <w:rsid w:val="00F77E17"/>
    <w:rsid w:val="00F8579A"/>
    <w:rsid w:val="00F948DD"/>
    <w:rsid w:val="00F96B73"/>
    <w:rsid w:val="00FA5AAE"/>
    <w:rsid w:val="00FB6927"/>
    <w:rsid w:val="00FC0386"/>
    <w:rsid w:val="00FC3D16"/>
    <w:rsid w:val="00FC4096"/>
    <w:rsid w:val="00FD18D4"/>
    <w:rsid w:val="00FD52A7"/>
    <w:rsid w:val="00FD6706"/>
    <w:rsid w:val="00FD676A"/>
    <w:rsid w:val="00FF36E7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0BB9F-C53E-416E-A0B4-6BE8714F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70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D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70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1D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70"/>
    <w:rPr>
      <w:rFonts w:ascii="Hebar" w:eastAsia="Times New Roman" w:hAnsi="Hebar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1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22C9-EA53-4EA5-9D07-09E434E6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PESHEVA DIMOVA-KANCHEVA</dc:creator>
  <cp:keywords/>
  <dc:description/>
  <cp:lastModifiedBy>LYUDMILA PESHEVA DIMOVA-KANCHEVA</cp:lastModifiedBy>
  <cp:revision>20</cp:revision>
  <cp:lastPrinted>2022-08-15T13:26:00Z</cp:lastPrinted>
  <dcterms:created xsi:type="dcterms:W3CDTF">2022-06-06T07:23:00Z</dcterms:created>
  <dcterms:modified xsi:type="dcterms:W3CDTF">2022-08-15T13:26:00Z</dcterms:modified>
</cp:coreProperties>
</file>